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F14D90">
      <w:pPr>
        <w:keepNext w:val="0"/>
        <w:keepLines w:val="0"/>
        <w:pageBreakBefore w:val="0"/>
        <w:widowControl w:val="0"/>
        <w:kinsoku/>
        <w:wordWrap/>
        <w:overflowPunct/>
        <w:topLinePunct w:val="0"/>
        <w:autoSpaceDE/>
        <w:autoSpaceDN/>
        <w:bidi w:val="0"/>
        <w:adjustRightInd/>
        <w:snapToGrid/>
        <w:spacing w:line="528" w:lineRule="auto"/>
        <w:ind w:firstLine="1560" w:firstLineChars="300"/>
        <w:jc w:val="both"/>
        <w:textAlignment w:val="auto"/>
        <w:rPr>
          <w:rFonts w:hint="eastAsia" w:ascii="楷体" w:hAnsi="楷体" w:eastAsia="楷体" w:cs="楷体"/>
          <w:sz w:val="52"/>
          <w:szCs w:val="52"/>
        </w:rPr>
      </w:pPr>
      <w:r>
        <w:rPr>
          <w:rFonts w:hint="eastAsia" w:ascii="楷体" w:hAnsi="楷体" w:eastAsia="楷体" w:cs="楷体"/>
          <w:sz w:val="52"/>
          <w:szCs w:val="52"/>
        </w:rPr>
        <w:t>劳动人事争议仲裁委员会</w:t>
      </w:r>
    </w:p>
    <w:p w14:paraId="0368285C">
      <w:pPr>
        <w:keepNext w:val="0"/>
        <w:keepLines w:val="0"/>
        <w:pageBreakBefore w:val="0"/>
        <w:widowControl w:val="0"/>
        <w:kinsoku/>
        <w:wordWrap/>
        <w:overflowPunct/>
        <w:topLinePunct w:val="0"/>
        <w:autoSpaceDE/>
        <w:autoSpaceDN/>
        <w:bidi w:val="0"/>
        <w:adjustRightInd/>
        <w:snapToGrid/>
        <w:spacing w:line="528" w:lineRule="auto"/>
        <w:jc w:val="center"/>
        <w:textAlignment w:val="auto"/>
        <w:rPr>
          <w:rFonts w:hint="eastAsia" w:ascii="楷体" w:hAnsi="楷体" w:eastAsia="楷体" w:cs="楷体"/>
          <w:sz w:val="52"/>
          <w:szCs w:val="52"/>
        </w:rPr>
      </w:pPr>
      <w:r>
        <w:rPr>
          <w:rFonts w:hint="eastAsia" w:ascii="楷体" w:hAnsi="楷体" w:eastAsia="楷体" w:cs="楷体"/>
          <w:sz w:val="52"/>
          <w:szCs w:val="52"/>
        </w:rPr>
        <w:t>仲裁裁决书</w:t>
      </w:r>
    </w:p>
    <w:p w14:paraId="3ED3719C">
      <w:pPr>
        <w:jc w:val="right"/>
        <w:rPr>
          <w:rFonts w:ascii="宋体" w:hAnsi="宋体" w:eastAsia="宋体" w:cs="宋体"/>
          <w:sz w:val="24"/>
          <w:szCs w:val="24"/>
        </w:rPr>
      </w:pPr>
      <w:r>
        <w:rPr>
          <w:rFonts w:hint="eastAsia" w:ascii="楷体" w:hAnsi="楷体" w:eastAsia="楷体" w:cs="楷体"/>
          <w:sz w:val="32"/>
          <w:szCs w:val="32"/>
        </w:rPr>
        <w:t>拉城劳人仲〔202</w:t>
      </w:r>
      <w:r>
        <w:rPr>
          <w:rFonts w:hint="eastAsia" w:ascii="楷体" w:hAnsi="楷体" w:eastAsia="楷体" w:cs="楷体"/>
          <w:sz w:val="32"/>
          <w:szCs w:val="32"/>
          <w:lang w:val="en-US" w:eastAsia="zh-CN"/>
        </w:rPr>
        <w:t>6</w:t>
      </w:r>
      <w:r>
        <w:rPr>
          <w:rFonts w:hint="eastAsia" w:ascii="楷体" w:hAnsi="楷体" w:eastAsia="楷体" w:cs="楷体"/>
          <w:sz w:val="32"/>
          <w:szCs w:val="32"/>
        </w:rPr>
        <w:t>〕</w:t>
      </w:r>
      <w:r>
        <w:rPr>
          <w:rFonts w:hint="eastAsia" w:ascii="楷体" w:hAnsi="楷体" w:eastAsia="楷体" w:cs="楷体"/>
          <w:sz w:val="32"/>
          <w:szCs w:val="32"/>
          <w:lang w:val="en-US" w:eastAsia="zh-CN"/>
        </w:rPr>
        <w:t>18</w:t>
      </w:r>
      <w:bookmarkStart w:id="0" w:name="_GoBack"/>
      <w:bookmarkEnd w:id="0"/>
      <w:r>
        <w:rPr>
          <w:rFonts w:hint="eastAsia" w:ascii="楷体" w:hAnsi="楷体" w:eastAsia="楷体" w:cs="楷体"/>
          <w:sz w:val="32"/>
          <w:szCs w:val="32"/>
          <w:lang w:val="en-US" w:eastAsia="zh-CN"/>
        </w:rPr>
        <w:t>8</w:t>
      </w:r>
      <w:r>
        <w:rPr>
          <w:rFonts w:hint="eastAsia" w:ascii="楷体" w:hAnsi="楷体" w:eastAsia="楷体" w:cs="楷体"/>
          <w:sz w:val="32"/>
          <w:szCs w:val="32"/>
        </w:rPr>
        <w:t>号</w:t>
      </w:r>
    </w:p>
    <w:p w14:paraId="3F16C6CA">
      <w:pPr>
        <w:ind w:firstLine="643" w:firstLineChars="200"/>
        <w:rPr>
          <w:rFonts w:hint="eastAsia" w:ascii="楷体" w:hAnsi="楷体" w:eastAsia="楷体" w:cs="楷体"/>
          <w:b w:val="0"/>
          <w:kern w:val="2"/>
          <w:sz w:val="32"/>
          <w:szCs w:val="32"/>
          <w:lang w:val="en-US" w:eastAsia="zh-CN" w:bidi="ar-SA"/>
        </w:rPr>
      </w:pPr>
      <w:r>
        <w:rPr>
          <w:rFonts w:hint="eastAsia" w:ascii="楷体" w:hAnsi="楷体" w:eastAsia="楷体" w:cs="楷体"/>
          <w:b/>
          <w:bCs/>
          <w:kern w:val="2"/>
          <w:sz w:val="32"/>
          <w:szCs w:val="32"/>
          <w:lang w:val="en-US" w:eastAsia="zh-CN" w:bidi="ar-SA"/>
        </w:rPr>
        <w:t>申请人：</w:t>
      </w:r>
      <w:r>
        <w:rPr>
          <w:rFonts w:hint="eastAsia" w:ascii="楷体" w:hAnsi="楷体" w:eastAsia="楷体" w:cs="楷体"/>
          <w:b w:val="0"/>
          <w:kern w:val="2"/>
          <w:sz w:val="32"/>
          <w:szCs w:val="32"/>
          <w:lang w:val="en-US" w:eastAsia="zh-CN" w:bidi="ar-SA"/>
        </w:rPr>
        <w:t>陈旭，男，汉族，1970年3月23日生，住四川省xxxxxxxx，公民身份证号码：510128197003xxxxxx。</w:t>
      </w:r>
    </w:p>
    <w:p w14:paraId="5664E00C">
      <w:pPr>
        <w:ind w:firstLine="643" w:firstLineChars="200"/>
        <w:rPr>
          <w:rFonts w:hint="eastAsia" w:ascii="楷体" w:hAnsi="楷体" w:eastAsia="楷体" w:cs="楷体"/>
          <w:b w:val="0"/>
          <w:kern w:val="2"/>
          <w:sz w:val="32"/>
          <w:szCs w:val="32"/>
          <w:lang w:val="en-US" w:eastAsia="zh-CN" w:bidi="ar-SA"/>
        </w:rPr>
      </w:pPr>
      <w:r>
        <w:rPr>
          <w:rFonts w:hint="eastAsia" w:ascii="楷体" w:hAnsi="楷体" w:eastAsia="楷体" w:cs="楷体"/>
          <w:b/>
          <w:bCs/>
          <w:kern w:val="2"/>
          <w:sz w:val="32"/>
          <w:szCs w:val="32"/>
          <w:lang w:val="en-US" w:eastAsia="zh-CN" w:bidi="ar-SA"/>
        </w:rPr>
        <w:t>委托代理人：</w:t>
      </w:r>
      <w:r>
        <w:rPr>
          <w:rFonts w:hint="eastAsia" w:ascii="楷体" w:hAnsi="楷体" w:eastAsia="楷体" w:cs="楷体"/>
          <w:b w:val="0"/>
          <w:kern w:val="2"/>
          <w:sz w:val="32"/>
          <w:szCs w:val="32"/>
          <w:lang w:val="en-US" w:eastAsia="zh-CN" w:bidi="ar-SA"/>
        </w:rPr>
        <w:t>胡沥丹，四川致高律师事务所律师。</w:t>
      </w:r>
    </w:p>
    <w:p w14:paraId="126BB69E">
      <w:pPr>
        <w:ind w:firstLine="643" w:firstLineChars="200"/>
        <w:rPr>
          <w:rFonts w:hint="eastAsia" w:ascii="楷体" w:hAnsi="楷体" w:eastAsia="楷体" w:cs="楷体"/>
          <w:b w:val="0"/>
          <w:kern w:val="2"/>
          <w:sz w:val="32"/>
          <w:szCs w:val="32"/>
          <w:lang w:val="en-US" w:eastAsia="zh-CN" w:bidi="ar-SA"/>
        </w:rPr>
      </w:pPr>
      <w:r>
        <w:rPr>
          <w:rFonts w:hint="eastAsia" w:ascii="楷体" w:hAnsi="楷体" w:eastAsia="楷体" w:cs="楷体"/>
          <w:b/>
          <w:bCs/>
          <w:kern w:val="2"/>
          <w:sz w:val="32"/>
          <w:szCs w:val="32"/>
          <w:lang w:val="en-US" w:eastAsia="zh-CN" w:bidi="ar-SA"/>
        </w:rPr>
        <w:t>被申请人：</w:t>
      </w:r>
      <w:r>
        <w:rPr>
          <w:rFonts w:hint="eastAsia" w:ascii="楷体" w:hAnsi="楷体" w:eastAsia="楷体" w:cs="楷体"/>
          <w:b w:val="0"/>
          <w:kern w:val="2"/>
          <w:sz w:val="32"/>
          <w:szCs w:val="32"/>
          <w:lang w:val="en-US" w:eastAsia="zh-CN" w:bidi="ar-SA"/>
        </w:rPr>
        <w:t>西藏腾飞建筑有限公司，统一社会信用代码：91540000321370280K，地址：西藏自治区拉萨市城关区嘎玛贡桑街道嘎玛贡桑社区市辖区藏热居委会1-3楼。</w:t>
      </w:r>
    </w:p>
    <w:p w14:paraId="077A94C3">
      <w:pPr>
        <w:ind w:firstLine="643" w:firstLineChars="200"/>
        <w:rPr>
          <w:rFonts w:hint="eastAsia" w:ascii="楷体" w:hAnsi="楷体" w:eastAsia="楷体" w:cs="楷体"/>
          <w:b w:val="0"/>
          <w:kern w:val="2"/>
          <w:sz w:val="32"/>
          <w:szCs w:val="32"/>
          <w:lang w:val="en-US" w:eastAsia="zh-CN" w:bidi="ar-SA"/>
        </w:rPr>
      </w:pPr>
      <w:r>
        <w:rPr>
          <w:rFonts w:hint="eastAsia" w:ascii="楷体" w:hAnsi="楷体" w:eastAsia="楷体" w:cs="楷体"/>
          <w:b/>
          <w:bCs/>
          <w:kern w:val="2"/>
          <w:sz w:val="32"/>
          <w:szCs w:val="32"/>
          <w:lang w:val="en-US" w:eastAsia="zh-CN" w:bidi="ar-SA"/>
        </w:rPr>
        <w:t>法定代表人：</w:t>
      </w:r>
      <w:r>
        <w:rPr>
          <w:rFonts w:hint="eastAsia" w:ascii="楷体" w:hAnsi="楷体" w:eastAsia="楷体" w:cs="楷体"/>
          <w:b w:val="0"/>
          <w:kern w:val="2"/>
          <w:sz w:val="32"/>
          <w:szCs w:val="32"/>
          <w:lang w:val="en-US" w:eastAsia="zh-CN" w:bidi="ar-SA"/>
        </w:rPr>
        <w:t>旦巴坚参，执行董事兼总经理。</w:t>
      </w:r>
    </w:p>
    <w:p w14:paraId="6AAC0E74">
      <w:pPr>
        <w:ind w:firstLine="643" w:firstLineChars="200"/>
        <w:rPr>
          <w:rFonts w:hint="eastAsia" w:ascii="楷体" w:hAnsi="楷体" w:eastAsia="楷体" w:cs="楷体"/>
          <w:b w:val="0"/>
          <w:kern w:val="2"/>
          <w:sz w:val="32"/>
          <w:szCs w:val="32"/>
          <w:lang w:val="en-US" w:eastAsia="zh-CN" w:bidi="ar-SA"/>
        </w:rPr>
      </w:pPr>
      <w:r>
        <w:rPr>
          <w:rFonts w:hint="eastAsia" w:ascii="楷体" w:hAnsi="楷体" w:eastAsia="楷体" w:cs="楷体"/>
          <w:b/>
          <w:bCs/>
          <w:kern w:val="2"/>
          <w:sz w:val="32"/>
          <w:szCs w:val="32"/>
          <w:lang w:val="en-US" w:eastAsia="zh-CN" w:bidi="ar-SA"/>
        </w:rPr>
        <w:t>案由：</w:t>
      </w:r>
      <w:r>
        <w:rPr>
          <w:rFonts w:hint="eastAsia" w:ascii="楷体" w:hAnsi="楷体" w:eastAsia="楷体" w:cs="楷体"/>
          <w:b w:val="0"/>
          <w:kern w:val="2"/>
          <w:sz w:val="32"/>
          <w:szCs w:val="32"/>
          <w:lang w:val="en-US" w:eastAsia="zh-CN" w:bidi="ar-SA"/>
        </w:rPr>
        <w:t>工伤保险争议申请人陈旭与被申请人西藏腾飞建筑有限公司就工伤保险争议于2026年6月15日向本委申请仲裁，经本委依法立案并于2026年10月16日开庭审理。申请人委托代理人胡沥丹通过线上方式到庭参加仲裁庭审，被申请人无正当理由未到庭参加仲裁庭审，本委依法按被申请人缺席审理本案。本案现已审理终结。</w:t>
      </w:r>
    </w:p>
    <w:p w14:paraId="5949356F">
      <w:pPr>
        <w:ind w:firstLine="643" w:firstLineChars="200"/>
        <w:rPr>
          <w:rFonts w:hint="eastAsia" w:ascii="楷体" w:hAnsi="楷体" w:eastAsia="楷体" w:cs="楷体"/>
          <w:b w:val="0"/>
          <w:kern w:val="2"/>
          <w:sz w:val="32"/>
          <w:szCs w:val="32"/>
          <w:lang w:val="en-US" w:eastAsia="zh-CN" w:bidi="ar-SA"/>
        </w:rPr>
      </w:pPr>
      <w:r>
        <w:rPr>
          <w:rFonts w:hint="eastAsia" w:ascii="楷体" w:hAnsi="楷体" w:eastAsia="楷体" w:cs="楷体"/>
          <w:b/>
          <w:bCs/>
          <w:kern w:val="2"/>
          <w:sz w:val="32"/>
          <w:szCs w:val="32"/>
          <w:lang w:val="en-US" w:eastAsia="zh-CN" w:bidi="ar-SA"/>
        </w:rPr>
        <w:t>申请人仲裁请求：</w:t>
      </w:r>
      <w:r>
        <w:rPr>
          <w:rFonts w:hint="eastAsia" w:ascii="楷体" w:hAnsi="楷体" w:eastAsia="楷体" w:cs="楷体"/>
          <w:b w:val="0"/>
          <w:kern w:val="2"/>
          <w:sz w:val="32"/>
          <w:szCs w:val="32"/>
          <w:lang w:val="en-US" w:eastAsia="zh-CN" w:bidi="ar-SA"/>
        </w:rPr>
        <w:t>请求裁决被申请人向申请人支付九级工伤各项工伤保险待遇费用，共计人民币380029.29元（详见赔偿明细表）。</w:t>
      </w:r>
    </w:p>
    <w:p w14:paraId="028D5F95">
      <w:pPr>
        <w:ind w:firstLine="643" w:firstLineChars="200"/>
        <w:rPr>
          <w:rFonts w:hint="eastAsia" w:ascii="楷体" w:hAnsi="楷体" w:eastAsia="楷体" w:cs="楷体"/>
          <w:b w:val="0"/>
          <w:kern w:val="2"/>
          <w:sz w:val="32"/>
          <w:szCs w:val="32"/>
          <w:lang w:val="en-US" w:eastAsia="zh-CN" w:bidi="ar-SA"/>
        </w:rPr>
      </w:pPr>
      <w:r>
        <w:rPr>
          <w:rFonts w:hint="eastAsia" w:ascii="楷体" w:hAnsi="楷体" w:eastAsia="楷体" w:cs="楷体"/>
          <w:b/>
          <w:bCs/>
          <w:kern w:val="2"/>
          <w:sz w:val="32"/>
          <w:szCs w:val="32"/>
          <w:lang w:val="en-US" w:eastAsia="zh-CN" w:bidi="ar-SA"/>
        </w:rPr>
        <w:t>申请人诉称：</w:t>
      </w:r>
      <w:r>
        <w:rPr>
          <w:rFonts w:hint="eastAsia" w:ascii="楷体" w:hAnsi="楷体" w:eastAsia="楷体" w:cs="楷体"/>
          <w:b w:val="0"/>
          <w:kern w:val="2"/>
          <w:sz w:val="32"/>
          <w:szCs w:val="32"/>
          <w:lang w:val="en-US" w:eastAsia="zh-CN" w:bidi="ar-SA"/>
        </w:rPr>
        <w:t>申请人于2024年9月入职被申请人处任职木工，2025年11月1日，申请人在被申请人承建的日嘉康乐园工程项目作业时，因电锯故障致其右手受伤，先后前往拉萨恒大医院和成都市第五人民医院治疗，经诊断为：右手腕部开放性损伤，医嘱均明确载明：休息一个月。2026年1月6日，经拉萨市人力资源和社会保障局作出拉工认字（2025）662号《认定工伤决定书》，认定申请人所受伤害为工伤；2026年5月7日，经拉萨市劳动能力鉴定委员会作出拉劳鉴（初）字（2026）062号《初次鉴定结论书》，鉴定结论为：伤残玖级，停工留薪期6个月。申请人因工伤致残，已无法继续履行劳动合同，根据《工伤保险条例》《四川省工伤保险条例》相关规定，被申请人应向申请人支付玖级工伤相应工伤保险待遇，经申请人多次催告，被申请人至今未履行赔付义务。为维护申请人合法权益，根据《中华人民共和国劳动争议调解仲裁法》相关规定，提起仲裁。申请人提交的证据包括：申请人身份证复印件、被申请人企业信息、认定工伤决定书、伤残等级鉴定意见书、出院证明书－拉萨恒大医院、出院病情证明－成都市第五人民医院、医疗费用发票。被申请人经本委依法书面送达开庭通知，无正当理由拒不到庭参加庭审，视为放弃答辩、举证、质证、辩论等仲裁权利，应承担由此产生的不利法律后果。</w:t>
      </w:r>
    </w:p>
    <w:p w14:paraId="79B7F6DB">
      <w:pPr>
        <w:ind w:firstLine="643" w:firstLineChars="200"/>
        <w:rPr>
          <w:rFonts w:hint="eastAsia" w:ascii="楷体" w:hAnsi="楷体" w:eastAsia="楷体" w:cs="楷体"/>
          <w:b w:val="0"/>
          <w:kern w:val="2"/>
          <w:sz w:val="32"/>
          <w:szCs w:val="32"/>
          <w:lang w:val="en-US" w:eastAsia="zh-CN" w:bidi="ar-SA"/>
        </w:rPr>
      </w:pPr>
      <w:r>
        <w:rPr>
          <w:rFonts w:hint="eastAsia" w:ascii="楷体" w:hAnsi="楷体" w:eastAsia="楷体" w:cs="楷体"/>
          <w:b/>
          <w:bCs/>
          <w:kern w:val="2"/>
          <w:sz w:val="32"/>
          <w:szCs w:val="32"/>
          <w:lang w:val="en-US" w:eastAsia="zh-CN" w:bidi="ar-SA"/>
        </w:rPr>
        <w:t>本委经审理查明：</w:t>
      </w:r>
      <w:r>
        <w:rPr>
          <w:rFonts w:hint="eastAsia" w:ascii="楷体" w:hAnsi="楷体" w:eastAsia="楷体" w:cs="楷体"/>
          <w:b w:val="0"/>
          <w:kern w:val="2"/>
          <w:sz w:val="32"/>
          <w:szCs w:val="32"/>
          <w:lang w:val="en-US" w:eastAsia="zh-CN" w:bidi="ar-SA"/>
        </w:rPr>
        <w:t>申请人陈旭于2024年9月在被申请人承建的日嘉康乐园（嘉康乐园）工程项目从事木工工作，受伤前月工资为7066.20元（拉萨市2025年社保缴费基数下限）。2024年11月1日，申请人在该项目作业时因电锯故障致右手受伤，随即前往拉萨恒大医院住院治疗（2024年11月1日至2024年11月8日），后转至成都市第五人民医院住院治疗（2024年12月12日至2024年12月19日），两次住院共计15天。申请人为治疗工伤支出医疗费共计24291.59元，其中拉萨恒大医院医疗费19612.9元、成都市第五人民医院医疗费4513.69元、崇州市人民医院门诊检查费165元。2026年1月6日，拉萨市人力资源和社会保障局作出拉工认字（2025）662号《认定工伤决定书》，认定申请人所受伤害为工伤；2026年5月7日，拉萨市劳动能力鉴定委员会作出拉劳鉴（初）字（2026）062号《初次鉴定结论书》，鉴定申请人伤残等级为玖级、停工留薪期为6个月。被申请人未向申请人支付各项工伤保险待遇。以上事实有申请人提交的证据资料、庭审笔录等在案佐证。综合申请人的主张、证据及庭审笔录，本委认为：申请人在工作中受伤，经认定为工伤并鉴定为伤残九级，被申请人作为用工单位，应当依照《工伤保险条例》及《西藏自治区实施〈工伤保险条例〉办法》的规定，向申请人支付相应的工伤保险待遇。关于一次性伤残补助金。依照《工伤保险条例》第三十七条、《西藏自治区实施〈工伤保险条例〉办法》第三十二条的规定，九级伤残的一次性伤残补助金为9个月本人工资。申请人受伤前月工资为7066.2元，据此一次性伤残补助金为63595.8元（7066.20元×9个月），予以支持。关于一次性工伤医疗补助金、一次性伤残就业补助金。依照《工伤保险条例》第三十七条、《西藏自治区实施〈工伤保险条例〉办法》第三十二条的规定，九级伤残的一次性工伤医疗补助金为9个月、一次性伤残就业补助金为11个月，以全区上年度在岗职工月平均工资为基数。申请人主张按全区上年度在岗职工月平均工资11777元/月计算，据此一次性工伤医疗补助金为105993元（11777元×9个月）、一次性伤残就业补助金为129547元（11777元×11个月），予以支持。关于医疗费。申请人为治疗工伤支出的医疗费24291.59元，有医疗费发票予以证明，依照《工伤保险条例》第三十条的规定，予以支持。关于住院伙食补助费。申请人住院治疗15天，依照《工伤保险条例》第三十条、《西藏自治区实施〈工伤保险条例〉办法》第二十九条的规定，按每日50元标准计算为750元（50元×15天），予以支持。关于停工留薪期工资。依照《工伤保险条例》第三十三条、《西藏自治区实施〈工伤保险条例〉办法》第二十五条的规定，停工留薪期内原工资福利待遇不变，由所在单位按月支付。本案劳动能力鉴定结论确定的停工留薪期为6个月，故停工留薪期工资应为42397.2元（7066.2元×6个月）。申请人主张按7个月计算停工留薪期工资49463.4元，与鉴定结论不符，超出部分本委不予支持。关于住院期间护理费。依照《西藏自治区实施〈工伤保险条例〉办法》第二十五条的规定，停工留薪期生活不能自理需要护理的，用人单位未派人护理的，可按自治区上年度在岗职工月平均工资标准支付护理费。申请人住院15天，按11777元/月÷30天×15天计算为5888.5元，予以支持。关于交通费。申请人主张因就医产生的交通费500元，未超出必要范围，予以支持。综上，被申请人应向申请人支付的各项工伤保险待遇合计372963.09元。申请人超过上述金额部分的仲裁请求，本委不予支持。综上，《中华人民共和国劳动争议调解仲裁法》第三十六条、《劳动人事争议仲裁办案规则》第三十九条、《工伤保险条例》第三十条、第三十三条、第三十四条、第三十七条，《西藏自治区实施〈工伤保险条例〉办法》第二十五条、第二十九条、第三十二条之规定，本案裁决如下：</w:t>
      </w:r>
    </w:p>
    <w:p w14:paraId="2A0ADBA1">
      <w:pPr>
        <w:ind w:firstLine="640" w:firstLineChars="200"/>
        <w:rPr>
          <w:rFonts w:hint="eastAsia" w:ascii="楷体" w:hAnsi="楷体" w:eastAsia="楷体" w:cs="楷体"/>
          <w:b w:val="0"/>
          <w:kern w:val="2"/>
          <w:sz w:val="32"/>
          <w:szCs w:val="32"/>
          <w:lang w:val="en-US" w:eastAsia="zh-CN" w:bidi="ar-SA"/>
        </w:rPr>
      </w:pPr>
      <w:r>
        <w:rPr>
          <w:rFonts w:hint="eastAsia" w:ascii="楷体" w:hAnsi="楷体" w:eastAsia="楷体" w:cs="楷体"/>
          <w:b w:val="0"/>
          <w:kern w:val="2"/>
          <w:sz w:val="32"/>
          <w:szCs w:val="32"/>
          <w:lang w:val="en-US" w:eastAsia="zh-CN" w:bidi="ar-SA"/>
        </w:rPr>
        <w:t>一、被申请人西藏腾飞建筑有限公司自本裁决书生效之日起五日内，向申请人陈旭一次性支付各项工伤保险待遇合计372963.09元。</w:t>
      </w:r>
    </w:p>
    <w:p w14:paraId="5F67AF28">
      <w:pPr>
        <w:ind w:firstLine="640" w:firstLineChars="200"/>
        <w:rPr>
          <w:rFonts w:hint="eastAsia" w:ascii="楷体" w:hAnsi="楷体" w:eastAsia="楷体" w:cs="楷体"/>
          <w:b w:val="0"/>
          <w:kern w:val="2"/>
          <w:sz w:val="32"/>
          <w:szCs w:val="32"/>
          <w:lang w:val="en-US" w:eastAsia="zh-CN" w:bidi="ar-SA"/>
        </w:rPr>
      </w:pPr>
      <w:r>
        <w:rPr>
          <w:rFonts w:hint="eastAsia" w:ascii="楷体" w:hAnsi="楷体" w:eastAsia="楷体" w:cs="楷体"/>
          <w:b w:val="0"/>
          <w:kern w:val="2"/>
          <w:sz w:val="32"/>
          <w:szCs w:val="32"/>
          <w:lang w:val="en-US" w:eastAsia="zh-CN" w:bidi="ar-SA"/>
        </w:rPr>
        <w:t>二、驳回申请人陈旭的其他仲裁请求。</w:t>
      </w:r>
    </w:p>
    <w:p w14:paraId="4B063200">
      <w:pPr>
        <w:ind w:firstLine="640" w:firstLineChars="200"/>
        <w:rPr>
          <w:rFonts w:hint="eastAsia" w:ascii="楷体" w:hAnsi="楷体" w:eastAsia="楷体" w:cs="楷体"/>
          <w:b w:val="0"/>
          <w:kern w:val="2"/>
          <w:sz w:val="32"/>
          <w:szCs w:val="32"/>
          <w:lang w:val="en-US" w:eastAsia="zh-CN" w:bidi="ar-SA"/>
        </w:rPr>
      </w:pPr>
      <w:r>
        <w:rPr>
          <w:rFonts w:hint="eastAsia" w:ascii="楷体" w:hAnsi="楷体" w:eastAsia="楷体" w:cs="楷体"/>
          <w:b w:val="0"/>
          <w:kern w:val="2"/>
          <w:sz w:val="32"/>
          <w:szCs w:val="32"/>
          <w:lang w:val="en-US" w:eastAsia="zh-CN" w:bidi="ar-SA"/>
        </w:rPr>
        <w:t>本仲裁裁决为非终局裁决。</w:t>
      </w:r>
    </w:p>
    <w:p w14:paraId="57CDB9DE">
      <w:pPr>
        <w:ind w:firstLine="640" w:firstLineChars="200"/>
        <w:rPr>
          <w:rFonts w:hint="eastAsia" w:ascii="楷体" w:hAnsi="楷体" w:eastAsia="楷体" w:cs="楷体"/>
          <w:b w:val="0"/>
          <w:kern w:val="2"/>
          <w:sz w:val="32"/>
          <w:szCs w:val="32"/>
          <w:lang w:val="en-US" w:eastAsia="zh-CN" w:bidi="ar-SA"/>
        </w:rPr>
      </w:pPr>
      <w:r>
        <w:rPr>
          <w:rFonts w:hint="eastAsia" w:ascii="楷体" w:hAnsi="楷体" w:eastAsia="楷体" w:cs="楷体"/>
          <w:b w:val="0"/>
          <w:kern w:val="2"/>
          <w:sz w:val="32"/>
          <w:szCs w:val="32"/>
          <w:lang w:val="en-US" w:eastAsia="zh-CN" w:bidi="ar-SA"/>
        </w:rPr>
        <w:t>当事人对本裁决不服的，可以自收到本仲裁裁决书之日起十五日内向有管辖权的人民法院提起诉讼。期满不起诉的，本裁决书发生法律效力。</w:t>
      </w:r>
    </w:p>
    <w:p w14:paraId="40A4C114">
      <w:pPr>
        <w:keepNext w:val="0"/>
        <w:keepLines w:val="0"/>
        <w:pageBreakBefore w:val="0"/>
        <w:widowControl w:val="0"/>
        <w:kinsoku/>
        <w:wordWrap/>
        <w:overflowPunct/>
        <w:topLinePunct w:val="0"/>
        <w:autoSpaceDE/>
        <w:autoSpaceDN/>
        <w:bidi w:val="0"/>
        <w:adjustRightInd/>
        <w:snapToGrid/>
        <w:spacing w:line="528" w:lineRule="auto"/>
        <w:ind w:firstLine="6080" w:firstLineChars="1900"/>
        <w:jc w:val="right"/>
        <w:textAlignment w:val="auto"/>
        <w:rPr>
          <w:rFonts w:hint="default" w:ascii="楷体" w:hAnsi="楷体" w:eastAsia="楷体" w:cs="楷体"/>
          <w:sz w:val="32"/>
          <w:szCs w:val="32"/>
          <w:lang w:val="en-US" w:eastAsia="zh-CN"/>
        </w:rPr>
      </w:pPr>
    </w:p>
    <w:p w14:paraId="38C1BA4C">
      <w:pPr>
        <w:keepNext w:val="0"/>
        <w:keepLines w:val="0"/>
        <w:pageBreakBefore w:val="0"/>
        <w:widowControl w:val="0"/>
        <w:kinsoku/>
        <w:wordWrap/>
        <w:overflowPunct/>
        <w:topLinePunct w:val="0"/>
        <w:autoSpaceDE/>
        <w:autoSpaceDN/>
        <w:bidi w:val="0"/>
        <w:adjustRightInd/>
        <w:snapToGrid/>
        <w:spacing w:line="528" w:lineRule="auto"/>
        <w:ind w:firstLine="6080" w:firstLineChars="1900"/>
        <w:jc w:val="right"/>
        <w:textAlignment w:val="auto"/>
        <w:rPr>
          <w:rFonts w:hint="default" w:ascii="楷体" w:hAnsi="楷体" w:eastAsia="楷体" w:cs="楷体"/>
          <w:sz w:val="32"/>
          <w:szCs w:val="32"/>
          <w:lang w:val="en-US" w:eastAsia="zh-CN"/>
        </w:rPr>
      </w:pPr>
    </w:p>
    <w:p w14:paraId="0D802748">
      <w:pPr>
        <w:keepNext w:val="0"/>
        <w:keepLines w:val="0"/>
        <w:pageBreakBefore w:val="0"/>
        <w:widowControl w:val="0"/>
        <w:kinsoku/>
        <w:wordWrap/>
        <w:overflowPunct/>
        <w:topLinePunct w:val="0"/>
        <w:autoSpaceDE/>
        <w:autoSpaceDN/>
        <w:bidi w:val="0"/>
        <w:adjustRightInd/>
        <w:snapToGrid/>
        <w:spacing w:line="528" w:lineRule="auto"/>
        <w:ind w:firstLine="6080" w:firstLineChars="1900"/>
        <w:jc w:val="right"/>
        <w:textAlignment w:val="auto"/>
        <w:rPr>
          <w:rFonts w:hint="default" w:ascii="楷体" w:hAnsi="楷体" w:eastAsia="楷体" w:cs="楷体"/>
          <w:sz w:val="32"/>
          <w:szCs w:val="32"/>
          <w:lang w:val="en-US" w:eastAsia="zh-CN"/>
        </w:rPr>
      </w:pPr>
    </w:p>
    <w:p w14:paraId="3073D0B8">
      <w:pPr>
        <w:keepNext w:val="0"/>
        <w:keepLines w:val="0"/>
        <w:pageBreakBefore w:val="0"/>
        <w:widowControl w:val="0"/>
        <w:kinsoku/>
        <w:wordWrap/>
        <w:overflowPunct/>
        <w:topLinePunct w:val="0"/>
        <w:autoSpaceDE/>
        <w:autoSpaceDN/>
        <w:bidi w:val="0"/>
        <w:adjustRightInd/>
        <w:snapToGrid/>
        <w:spacing w:line="528" w:lineRule="auto"/>
        <w:jc w:val="both"/>
        <w:textAlignment w:val="auto"/>
        <w:rPr>
          <w:rFonts w:hint="default" w:ascii="楷体" w:hAnsi="楷体" w:eastAsia="楷体" w:cs="楷体"/>
          <w:sz w:val="32"/>
          <w:szCs w:val="32"/>
          <w:lang w:val="en-US" w:eastAsia="zh-CN"/>
        </w:rPr>
      </w:pPr>
    </w:p>
    <w:p w14:paraId="6F285F87">
      <w:pPr>
        <w:keepNext w:val="0"/>
        <w:keepLines w:val="0"/>
        <w:pageBreakBefore w:val="0"/>
        <w:widowControl w:val="0"/>
        <w:kinsoku/>
        <w:wordWrap/>
        <w:overflowPunct/>
        <w:topLinePunct w:val="0"/>
        <w:autoSpaceDE/>
        <w:autoSpaceDN/>
        <w:bidi w:val="0"/>
        <w:adjustRightInd/>
        <w:snapToGrid/>
        <w:spacing w:line="528" w:lineRule="auto"/>
        <w:ind w:firstLine="6080" w:firstLineChars="1900"/>
        <w:jc w:val="right"/>
        <w:textAlignment w:val="auto"/>
        <w:rPr>
          <w:rFonts w:hint="default" w:ascii="楷体" w:hAnsi="楷体" w:eastAsia="楷体" w:cs="楷体"/>
          <w:sz w:val="32"/>
          <w:szCs w:val="32"/>
          <w:lang w:val="en-US" w:eastAsia="zh-CN"/>
        </w:rPr>
      </w:pPr>
      <w:r>
        <w:rPr>
          <w:rFonts w:hint="default" w:ascii="楷体" w:hAnsi="楷体" w:eastAsia="楷体" w:cs="楷体"/>
          <w:sz w:val="32"/>
          <w:szCs w:val="32"/>
          <w:lang w:val="en-US" w:eastAsia="zh-CN"/>
        </w:rPr>
        <w:t>仲裁员</w:t>
      </w:r>
      <w:r>
        <w:rPr>
          <w:rFonts w:hint="eastAsia" w:ascii="楷体" w:hAnsi="楷体" w:eastAsia="楷体" w:cs="楷体"/>
          <w:sz w:val="32"/>
          <w:szCs w:val="32"/>
          <w:lang w:val="en-US" w:eastAsia="zh-CN"/>
        </w:rPr>
        <w:t>：张冬岩</w:t>
      </w:r>
    </w:p>
    <w:p w14:paraId="11ECD7EB">
      <w:pPr>
        <w:keepNext w:val="0"/>
        <w:keepLines w:val="0"/>
        <w:pageBreakBefore w:val="0"/>
        <w:widowControl w:val="0"/>
        <w:kinsoku/>
        <w:wordWrap/>
        <w:overflowPunct/>
        <w:topLinePunct w:val="0"/>
        <w:autoSpaceDE/>
        <w:autoSpaceDN/>
        <w:bidi w:val="0"/>
        <w:adjustRightInd/>
        <w:snapToGrid/>
        <w:spacing w:line="528" w:lineRule="auto"/>
        <w:ind w:firstLine="640" w:firstLineChars="200"/>
        <w:jc w:val="right"/>
        <w:textAlignment w:val="auto"/>
        <w:rPr>
          <w:rFonts w:hint="default" w:ascii="楷体" w:hAnsi="楷体" w:eastAsia="楷体" w:cs="楷体"/>
          <w:sz w:val="32"/>
          <w:szCs w:val="32"/>
          <w:lang w:val="en-US" w:eastAsia="zh-CN"/>
        </w:rPr>
      </w:pPr>
    </w:p>
    <w:p w14:paraId="5D2DDF6D">
      <w:pPr>
        <w:keepNext w:val="0"/>
        <w:keepLines w:val="0"/>
        <w:pageBreakBefore w:val="0"/>
        <w:widowControl w:val="0"/>
        <w:kinsoku/>
        <w:wordWrap/>
        <w:overflowPunct/>
        <w:topLinePunct w:val="0"/>
        <w:autoSpaceDE/>
        <w:autoSpaceDN/>
        <w:bidi w:val="0"/>
        <w:adjustRightInd/>
        <w:snapToGrid/>
        <w:spacing w:line="528" w:lineRule="auto"/>
        <w:ind w:firstLine="4480" w:firstLineChars="1400"/>
        <w:jc w:val="right"/>
        <w:textAlignment w:val="auto"/>
        <w:rPr>
          <w:rFonts w:hint="default" w:ascii="楷体" w:hAnsi="楷体" w:eastAsia="楷体" w:cs="楷体"/>
          <w:sz w:val="32"/>
          <w:szCs w:val="32"/>
          <w:lang w:val="en-US" w:eastAsia="zh-CN"/>
        </w:rPr>
      </w:pPr>
      <w:r>
        <w:rPr>
          <w:rFonts w:hint="default" w:ascii="楷体" w:hAnsi="楷体" w:eastAsia="楷体" w:cs="楷体"/>
          <w:sz w:val="32"/>
          <w:szCs w:val="32"/>
          <w:lang w:val="en-US" w:eastAsia="zh-CN"/>
        </w:rPr>
        <w:t>二〇二</w:t>
      </w:r>
      <w:r>
        <w:rPr>
          <w:rFonts w:hint="eastAsia" w:ascii="楷体" w:hAnsi="楷体" w:eastAsia="楷体" w:cs="楷体"/>
          <w:sz w:val="32"/>
          <w:szCs w:val="32"/>
          <w:lang w:val="en-US" w:eastAsia="zh-CN"/>
        </w:rPr>
        <w:t>六</w:t>
      </w:r>
      <w:r>
        <w:rPr>
          <w:rFonts w:hint="default" w:ascii="楷体" w:hAnsi="楷体" w:eastAsia="楷体" w:cs="楷体"/>
          <w:sz w:val="32"/>
          <w:szCs w:val="32"/>
          <w:lang w:val="en-US" w:eastAsia="zh-CN"/>
        </w:rPr>
        <w:t>年</w:t>
      </w:r>
      <w:r>
        <w:rPr>
          <w:rFonts w:hint="eastAsia" w:ascii="楷体" w:hAnsi="楷体" w:eastAsia="楷体" w:cs="楷体"/>
          <w:sz w:val="32"/>
          <w:szCs w:val="32"/>
          <w:lang w:val="en-US" w:eastAsia="zh-CN"/>
        </w:rPr>
        <w:t>十</w:t>
      </w:r>
      <w:r>
        <w:rPr>
          <w:rFonts w:hint="default" w:ascii="楷体" w:hAnsi="楷体" w:eastAsia="楷体" w:cs="楷体"/>
          <w:sz w:val="32"/>
          <w:szCs w:val="32"/>
          <w:lang w:val="en-US" w:eastAsia="zh-CN"/>
        </w:rPr>
        <w:t>月</w:t>
      </w:r>
      <w:r>
        <w:rPr>
          <w:rFonts w:hint="eastAsia" w:ascii="楷体" w:hAnsi="楷体" w:eastAsia="楷体" w:cs="楷体"/>
          <w:sz w:val="32"/>
          <w:szCs w:val="32"/>
          <w:lang w:val="en-US" w:eastAsia="zh-CN"/>
        </w:rPr>
        <w:t>二十二</w:t>
      </w:r>
      <w:r>
        <w:rPr>
          <w:rFonts w:hint="default" w:ascii="楷体" w:hAnsi="楷体" w:eastAsia="楷体" w:cs="楷体"/>
          <w:sz w:val="32"/>
          <w:szCs w:val="32"/>
          <w:lang w:val="en-US" w:eastAsia="zh-CN"/>
        </w:rPr>
        <w:t>日</w:t>
      </w:r>
    </w:p>
    <w:p w14:paraId="68DF6BAA">
      <w:pPr>
        <w:keepNext w:val="0"/>
        <w:keepLines w:val="0"/>
        <w:pageBreakBefore w:val="0"/>
        <w:widowControl w:val="0"/>
        <w:kinsoku/>
        <w:wordWrap/>
        <w:overflowPunct/>
        <w:topLinePunct w:val="0"/>
        <w:autoSpaceDE/>
        <w:autoSpaceDN/>
        <w:bidi w:val="0"/>
        <w:adjustRightInd/>
        <w:snapToGrid/>
        <w:spacing w:line="528" w:lineRule="auto"/>
        <w:ind w:firstLine="6080" w:firstLineChars="1900"/>
        <w:jc w:val="right"/>
        <w:textAlignment w:val="auto"/>
        <w:rPr>
          <w:rFonts w:hint="default" w:ascii="楷体" w:hAnsi="楷体" w:eastAsia="楷体" w:cs="楷体"/>
          <w:sz w:val="32"/>
          <w:szCs w:val="32"/>
          <w:lang w:val="en-US" w:eastAsia="zh-CN"/>
        </w:rPr>
      </w:pPr>
    </w:p>
    <w:p w14:paraId="486BF8DD">
      <w:pPr>
        <w:keepNext w:val="0"/>
        <w:keepLines w:val="0"/>
        <w:pageBreakBefore w:val="0"/>
        <w:widowControl w:val="0"/>
        <w:kinsoku/>
        <w:wordWrap/>
        <w:overflowPunct/>
        <w:topLinePunct w:val="0"/>
        <w:autoSpaceDE/>
        <w:autoSpaceDN/>
        <w:bidi w:val="0"/>
        <w:adjustRightInd/>
        <w:snapToGrid/>
        <w:spacing w:line="528" w:lineRule="auto"/>
        <w:ind w:firstLine="5440" w:firstLineChars="1700"/>
        <w:jc w:val="right"/>
        <w:textAlignment w:val="auto"/>
        <w:rPr>
          <w:rFonts w:hint="default" w:ascii="楷体" w:hAnsi="楷体" w:eastAsia="楷体" w:cs="楷体"/>
          <w:b w:val="0"/>
          <w:kern w:val="2"/>
          <w:sz w:val="32"/>
          <w:szCs w:val="32"/>
          <w:lang w:val="en-US" w:eastAsia="zh-CN" w:bidi="ar-SA"/>
        </w:rPr>
      </w:pPr>
      <w:r>
        <w:rPr>
          <w:rFonts w:hint="default" w:ascii="楷体" w:hAnsi="楷体" w:eastAsia="楷体" w:cs="楷体"/>
          <w:sz w:val="32"/>
          <w:szCs w:val="32"/>
          <w:lang w:val="en-US" w:eastAsia="zh-CN"/>
        </w:rPr>
        <w:t>书记员</w:t>
      </w:r>
      <w:r>
        <w:rPr>
          <w:rFonts w:hint="eastAsia" w:ascii="楷体" w:hAnsi="楷体" w:eastAsia="楷体" w:cs="楷体"/>
          <w:sz w:val="32"/>
          <w:szCs w:val="32"/>
          <w:lang w:val="en-US" w:eastAsia="zh-CN"/>
        </w:rPr>
        <w:t>：平措罗布</w:t>
      </w:r>
    </w:p>
    <w:p w14:paraId="4E66800E">
      <w:pPr>
        <w:ind w:firstLine="640" w:firstLineChars="200"/>
        <w:rPr>
          <w:rFonts w:hint="eastAsia" w:ascii="楷体" w:hAnsi="楷体" w:eastAsia="楷体" w:cs="楷体"/>
          <w:b w:val="0"/>
          <w:kern w:val="2"/>
          <w:sz w:val="32"/>
          <w:szCs w:val="32"/>
          <w:lang w:val="en-US" w:eastAsia="zh-CN" w:bidi="ar-SA"/>
        </w:rPr>
      </w:pPr>
    </w:p>
    <w:p w14:paraId="36F11753">
      <w:pPr>
        <w:ind w:firstLine="640" w:firstLineChars="200"/>
        <w:rPr>
          <w:rFonts w:hint="eastAsia" w:ascii="楷体" w:hAnsi="楷体" w:eastAsia="楷体" w:cs="楷体"/>
          <w:b w:val="0"/>
          <w:kern w:val="2"/>
          <w:sz w:val="32"/>
          <w:szCs w:val="32"/>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2E3B90"/>
    <w:rsid w:val="3F0154F2"/>
    <w:rsid w:val="3F814D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891</Words>
  <Characters>982</Characters>
  <Lines>0</Lines>
  <Paragraphs>0</Paragraphs>
  <TotalTime>2</TotalTime>
  <ScaleCrop>false</ScaleCrop>
  <LinksUpToDate>false</LinksUpToDate>
  <CharactersWithSpaces>1004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2026-10-22T13:23:00Z</dcterms:created>
  <dc:creator>pc</dc:creator>
  <cp:lastModifiedBy>uos</cp:lastModifiedBy>
  <dcterms:modified xsi:type="dcterms:W3CDTF">2026-10-23T12:54:28Z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eyJoZGlkIjoiNzc5ZTdjY2I2ZDZjMWFiNGE3MzM3N2M5OTZhNjljNzYiLCJ1c2VySWQiOiIzOTY5NTMxMTIifQ==</vt:lpwstr>
  </property>
  <property fmtid="{D5CDD505-2E9C-101B-9397-08002B2CF9AE}" pid="4" name="ICV">
    <vt:lpwstr>0E08EF33A36744F6A1B0722ECC9EB7E1_12</vt:lpwstr>
  </property>
</Properties>
</file>