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拉萨市城关区劳动人事争议仲裁委员会</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仲裁裁决书</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jc w:val="right"/>
        <w:textAlignment w:val="auto"/>
        <w:rPr>
          <w:rFonts w:ascii="MicrosoftYaHei" w:hAnsi="MicrosoftYaHei" w:eastAsia="MicrosoftYaHei" w:cs="MicrosoftYaHei"/>
          <w:b/>
          <w:bCs/>
          <w:i w:val="0"/>
          <w:iCs w:val="0"/>
          <w:caps w:val="0"/>
          <w:color w:val="333333"/>
          <w:spacing w:val="0"/>
          <w:kern w:val="0"/>
          <w:sz w:val="32"/>
          <w:szCs w:val="32"/>
          <w:u w:val="none"/>
          <w:shd w:val="clear" w:fill="FFFFFF"/>
          <w:lang w:val="en-US" w:eastAsia="zh-CN" w:bidi="ar"/>
        </w:rPr>
      </w:pPr>
      <w:r>
        <w:rPr>
          <w:rFonts w:ascii="MicrosoftYaHei" w:hAnsi="MicrosoftYaHei" w:eastAsia="MicrosoftYaHei" w:cs="MicrosoftYaHei"/>
          <w:b/>
          <w:bCs/>
          <w:i w:val="0"/>
          <w:iCs w:val="0"/>
          <w:caps w:val="0"/>
          <w:color w:val="333333"/>
          <w:spacing w:val="0"/>
          <w:kern w:val="0"/>
          <w:sz w:val="32"/>
          <w:szCs w:val="32"/>
          <w:u w:val="none"/>
          <w:shd w:val="clear" w:fill="FFFFFF"/>
          <w:lang w:val="en-US" w:eastAsia="zh-CN" w:bidi="ar"/>
        </w:rPr>
        <w:t>拉城劳人仲〔202</w:t>
      </w:r>
      <w:r>
        <w:rPr>
          <w:rFonts w:hint="eastAsia" w:ascii="MicrosoftYaHei" w:hAnsi="MicrosoftYaHei" w:eastAsia="MicrosoftYaHei" w:cs="MicrosoftYaHei"/>
          <w:b/>
          <w:bCs/>
          <w:i w:val="0"/>
          <w:iCs w:val="0"/>
          <w:caps w:val="0"/>
          <w:color w:val="333333"/>
          <w:spacing w:val="0"/>
          <w:kern w:val="0"/>
          <w:sz w:val="32"/>
          <w:szCs w:val="32"/>
          <w:u w:val="none"/>
          <w:shd w:val="clear" w:fill="FFFFFF"/>
          <w:lang w:val="en-US" w:eastAsia="zh-CN" w:bidi="ar"/>
        </w:rPr>
        <w:t>6</w:t>
      </w:r>
      <w:r>
        <w:rPr>
          <w:rFonts w:ascii="MicrosoftYaHei" w:hAnsi="MicrosoftYaHei" w:eastAsia="MicrosoftYaHei" w:cs="MicrosoftYaHei"/>
          <w:b/>
          <w:bCs/>
          <w:i w:val="0"/>
          <w:iCs w:val="0"/>
          <w:caps w:val="0"/>
          <w:color w:val="333333"/>
          <w:spacing w:val="0"/>
          <w:kern w:val="0"/>
          <w:sz w:val="32"/>
          <w:szCs w:val="32"/>
          <w:u w:val="none"/>
          <w:shd w:val="clear" w:fill="FFFFFF"/>
          <w:lang w:val="en-US" w:eastAsia="zh-CN" w:bidi="ar"/>
        </w:rPr>
        <w:t>〕</w:t>
      </w:r>
      <w:r>
        <w:rPr>
          <w:rFonts w:hint="eastAsia" w:ascii="MicrosoftYaHei" w:hAnsi="MicrosoftYaHei" w:eastAsia="MicrosoftYaHei" w:cs="MicrosoftYaHei"/>
          <w:b/>
          <w:bCs/>
          <w:i w:val="0"/>
          <w:iCs w:val="0"/>
          <w:caps w:val="0"/>
          <w:color w:val="333333"/>
          <w:spacing w:val="0"/>
          <w:kern w:val="0"/>
          <w:sz w:val="32"/>
          <w:szCs w:val="32"/>
          <w:u w:val="none"/>
          <w:shd w:val="clear" w:fill="FFFFFF"/>
          <w:lang w:val="en-US" w:eastAsia="zh-CN" w:bidi="ar"/>
        </w:rPr>
        <w:t>137</w:t>
      </w:r>
      <w:r>
        <w:rPr>
          <w:rFonts w:ascii="MicrosoftYaHei" w:hAnsi="MicrosoftYaHei" w:eastAsia="MicrosoftYaHei" w:cs="MicrosoftYaHei"/>
          <w:b/>
          <w:bCs/>
          <w:i w:val="0"/>
          <w:iCs w:val="0"/>
          <w:caps w:val="0"/>
          <w:color w:val="333333"/>
          <w:spacing w:val="0"/>
          <w:kern w:val="0"/>
          <w:sz w:val="32"/>
          <w:szCs w:val="32"/>
          <w:u w:val="none"/>
          <w:shd w:val="clear" w:fill="FFFFFF"/>
          <w:lang w:val="en-US" w:eastAsia="zh-CN" w:bidi="ar"/>
        </w:rPr>
        <w:t>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3" w:firstLineChars="200"/>
        <w:jc w:val="left"/>
        <w:textAlignment w:val="baseline"/>
        <w:rPr>
          <w:rFonts w:hint="eastAsia" w:ascii="仿宋_GB2312" w:hAnsi="仿宋_GB2312" w:eastAsia="仿宋_GB2312" w:cs="仿宋_GB2312"/>
          <w:i w:val="0"/>
          <w:iCs w:val="0"/>
          <w:caps w:val="0"/>
          <w:color w:val="333333"/>
          <w:spacing w:val="0"/>
          <w:kern w:val="0"/>
          <w:sz w:val="32"/>
          <w:szCs w:val="32"/>
          <w:u w:val="none"/>
          <w:bdr w:val="none" w:color="auto" w:sz="0" w:space="0"/>
          <w:vertAlign w:val="baseline"/>
          <w:lang w:val="en-US" w:eastAsia="zh-CN" w:bidi="ar"/>
        </w:rPr>
      </w:pPr>
      <w:r>
        <w:rPr>
          <w:rFonts w:hint="eastAsia" w:ascii="仿宋_GB2312" w:hAnsi="仿宋_GB2312" w:eastAsia="仿宋_GB2312" w:cs="仿宋_GB2312"/>
          <w:b/>
          <w:bCs/>
          <w:i w:val="0"/>
          <w:iCs w:val="0"/>
          <w:caps w:val="0"/>
          <w:color w:val="333333"/>
          <w:spacing w:val="0"/>
          <w:kern w:val="0"/>
          <w:sz w:val="32"/>
          <w:szCs w:val="32"/>
          <w:u w:val="none"/>
          <w:bdr w:val="none" w:color="auto" w:sz="0" w:space="0"/>
          <w:vertAlign w:val="baseline"/>
          <w:lang w:val="en-US" w:eastAsia="zh-CN" w:bidi="ar"/>
        </w:rPr>
        <w:t>申请人</w:t>
      </w:r>
      <w:r>
        <w:rPr>
          <w:rFonts w:hint="eastAsia" w:ascii="仿宋_GB2312" w:hAnsi="仿宋_GB2312" w:eastAsia="仿宋_GB2312" w:cs="仿宋_GB2312"/>
          <w:i w:val="0"/>
          <w:iCs w:val="0"/>
          <w:caps w:val="0"/>
          <w:color w:val="333333"/>
          <w:spacing w:val="0"/>
          <w:kern w:val="0"/>
          <w:sz w:val="32"/>
          <w:szCs w:val="32"/>
          <w:u w:val="none"/>
          <w:bdr w:val="none" w:color="auto" w:sz="0" w:space="0"/>
          <w:vertAlign w:val="baseline"/>
          <w:lang w:val="en-US" w:eastAsia="zh-CN" w:bidi="ar"/>
        </w:rPr>
        <w:t>：云旦，</w:t>
      </w:r>
      <w:r>
        <w:rPr>
          <w:rFonts w:hint="eastAsia" w:ascii="仿宋_GB2312" w:hAnsi="仿宋_GB2312" w:eastAsia="仿宋_GB2312" w:cs="仿宋_GB2312"/>
          <w:i w:val="0"/>
          <w:iCs w:val="0"/>
          <w:caps w:val="0"/>
          <w:color w:val="333333"/>
          <w:spacing w:val="0"/>
          <w:kern w:val="0"/>
          <w:sz w:val="32"/>
          <w:szCs w:val="32"/>
          <w:u w:val="none"/>
          <w:vertAlign w:val="baseline"/>
          <w:lang w:val="en-US" w:eastAsia="zh-CN" w:bidi="ar"/>
        </w:rPr>
        <w:t>性别：男，民族：藏族，</w:t>
      </w:r>
      <w:r>
        <w:rPr>
          <w:rFonts w:hint="eastAsia" w:ascii="仿宋_GB2312" w:hAnsi="仿宋_GB2312" w:eastAsia="仿宋_GB2312" w:cs="仿宋_GB2312"/>
          <w:i w:val="0"/>
          <w:iCs w:val="0"/>
          <w:caps w:val="0"/>
          <w:color w:val="333333"/>
          <w:spacing w:val="0"/>
          <w:kern w:val="0"/>
          <w:sz w:val="32"/>
          <w:szCs w:val="32"/>
          <w:u w:val="none"/>
          <w:bdr w:val="none" w:color="auto" w:sz="0" w:space="0"/>
          <w:vertAlign w:val="baseline"/>
          <w:lang w:val="en-US" w:eastAsia="zh-CN" w:bidi="ar"/>
        </w:rPr>
        <w:t>居民身份证证件号码：542123198909233011</w:t>
      </w:r>
      <w:r>
        <w:rPr>
          <w:rFonts w:hint="eastAsia" w:ascii="仿宋_GB2312" w:hAnsi="仿宋_GB2312" w:eastAsia="仿宋_GB2312" w:cs="仿宋_GB2312"/>
          <w:i w:val="0"/>
          <w:iCs w:val="0"/>
          <w:caps w:val="0"/>
          <w:color w:val="333333"/>
          <w:spacing w:val="0"/>
          <w:kern w:val="0"/>
          <w:sz w:val="32"/>
          <w:szCs w:val="32"/>
          <w:u w:val="none"/>
          <w:vertAlign w:val="baseline"/>
          <w:lang w:val="en-US" w:eastAsia="zh-CN" w:bidi="ar"/>
        </w:rPr>
        <w:t>户籍地址：西藏自治区昌都市贡觉县哈加乡宗布村，联系电话</w:t>
      </w:r>
      <w:r>
        <w:rPr>
          <w:rFonts w:hint="eastAsia" w:ascii="仿宋_GB2312" w:hAnsi="仿宋_GB2312" w:eastAsia="仿宋_GB2312" w:cs="仿宋_GB2312"/>
          <w:i w:val="0"/>
          <w:iCs w:val="0"/>
          <w:caps w:val="0"/>
          <w:color w:val="333333"/>
          <w:spacing w:val="0"/>
          <w:kern w:val="0"/>
          <w:sz w:val="32"/>
          <w:szCs w:val="32"/>
          <w:u w:val="none"/>
          <w:bdr w:val="none" w:color="auto" w:sz="0" w:space="0"/>
          <w:vertAlign w:val="baseline"/>
          <w:lang w:val="en-US" w:eastAsia="zh-CN" w:bidi="ar"/>
        </w:rPr>
        <w:t>：17789055633。</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3" w:firstLineChars="200"/>
        <w:jc w:val="left"/>
        <w:textAlignment w:val="baseline"/>
        <w:rPr>
          <w:rFonts w:hint="default" w:ascii="仿宋_GB2312" w:hAnsi="仿宋_GB2312" w:eastAsia="仿宋_GB2312" w:cs="仿宋_GB2312"/>
          <w:i w:val="0"/>
          <w:iCs w:val="0"/>
          <w:caps w:val="0"/>
          <w:color w:val="333333"/>
          <w:spacing w:val="0"/>
          <w:kern w:val="0"/>
          <w:sz w:val="32"/>
          <w:szCs w:val="32"/>
          <w:u w:val="none"/>
          <w:bdr w:val="none" w:color="auto" w:sz="0" w:space="0"/>
          <w:vertAlign w:val="baseline"/>
          <w:lang w:val="en-US" w:eastAsia="zh-CN" w:bidi="ar"/>
        </w:rPr>
      </w:pPr>
      <w:r>
        <w:rPr>
          <w:rFonts w:hint="eastAsia" w:ascii="仿宋_GB2312" w:hAnsi="仿宋_GB2312" w:eastAsia="仿宋_GB2312" w:cs="仿宋_GB2312"/>
          <w:b/>
          <w:bCs/>
          <w:i w:val="0"/>
          <w:iCs w:val="0"/>
          <w:caps w:val="0"/>
          <w:color w:val="333333"/>
          <w:spacing w:val="0"/>
          <w:kern w:val="0"/>
          <w:sz w:val="32"/>
          <w:szCs w:val="32"/>
          <w:u w:val="none"/>
          <w:bdr w:val="none" w:color="auto" w:sz="0" w:space="0"/>
          <w:vertAlign w:val="baseline"/>
          <w:lang w:val="en-US" w:eastAsia="zh-CN" w:bidi="ar"/>
        </w:rPr>
        <w:t>委托代理人：</w:t>
      </w:r>
      <w:r>
        <w:rPr>
          <w:rFonts w:hint="eastAsia" w:ascii="仿宋_GB2312" w:hAnsi="仿宋_GB2312" w:eastAsia="仿宋_GB2312" w:cs="仿宋_GB2312"/>
          <w:b w:val="0"/>
          <w:bCs w:val="0"/>
          <w:i w:val="0"/>
          <w:iCs w:val="0"/>
          <w:caps w:val="0"/>
          <w:color w:val="333333"/>
          <w:spacing w:val="0"/>
          <w:kern w:val="0"/>
          <w:sz w:val="32"/>
          <w:szCs w:val="32"/>
          <w:u w:val="none"/>
          <w:shd w:val="clear" w:fill="FFFFFF"/>
          <w:lang w:val="en-US" w:eastAsia="zh-CN" w:bidi="ar"/>
        </w:rPr>
        <w:t>仁青郎加，身份证号：</w:t>
      </w: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542123199701025111，住址：</w:t>
      </w:r>
      <w:bookmarkStart w:id="0" w:name="_GoBack"/>
      <w:bookmarkEnd w:id="0"/>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西藏贡觉县哈加乡宗布村。代理权限：特别授权。</w:t>
      </w:r>
    </w:p>
    <w:p>
      <w:pPr>
        <w:keepNext w:val="0"/>
        <w:keepLines w:val="0"/>
        <w:pageBreakBefore w:val="0"/>
        <w:widowControl/>
        <w:suppressLineNumbers w:val="0"/>
        <w:kinsoku/>
        <w:overflowPunct/>
        <w:topLinePunct w:val="0"/>
        <w:autoSpaceDE/>
        <w:autoSpaceDN/>
        <w:bidi w:val="0"/>
        <w:adjustRightInd/>
        <w:snapToGrid/>
        <w:spacing w:line="560" w:lineRule="exact"/>
        <w:ind w:firstLine="643" w:firstLineChars="200"/>
        <w:jc w:val="left"/>
        <w:rPr>
          <w:rFonts w:hint="eastAsia" w:ascii="仿宋_GB2312" w:hAnsi="仿宋_GB2312" w:eastAsia="仿宋_GB2312" w:cs="仿宋_GB2312"/>
          <w:b/>
          <w:bCs/>
          <w:i w:val="0"/>
          <w:iCs w:val="0"/>
          <w:caps w:val="0"/>
          <w:color w:val="333333"/>
          <w:spacing w:val="0"/>
          <w:kern w:val="0"/>
          <w:sz w:val="32"/>
          <w:szCs w:val="32"/>
          <w:u w:val="none"/>
          <w:bdr w:val="none" w:color="auto" w:sz="0" w:space="0"/>
          <w:vertAlign w:val="baseline"/>
          <w:lang w:val="en-US" w:eastAsia="zh-CN" w:bidi="ar"/>
        </w:rPr>
      </w:pPr>
      <w:r>
        <w:rPr>
          <w:rFonts w:hint="eastAsia" w:ascii="仿宋_GB2312" w:hAnsi="仿宋_GB2312" w:eastAsia="仿宋_GB2312" w:cs="仿宋_GB2312"/>
          <w:b/>
          <w:bCs/>
          <w:i w:val="0"/>
          <w:iCs w:val="0"/>
          <w:caps w:val="0"/>
          <w:color w:val="333333"/>
          <w:spacing w:val="0"/>
          <w:kern w:val="0"/>
          <w:sz w:val="32"/>
          <w:szCs w:val="32"/>
          <w:u w:val="none"/>
          <w:bdr w:val="none" w:color="auto" w:sz="0" w:space="0"/>
          <w:vertAlign w:val="baseline"/>
          <w:lang w:val="en-US" w:eastAsia="zh-CN" w:bidi="ar"/>
        </w:rPr>
        <w:t>被申请人：</w:t>
      </w: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西藏雪山顶商贸有限公司，统一社会信用代码：91540091MA6T5A7B36，住所：西藏自治区拉萨市城关区八廓街道波林卡路10号波林卡酒店2号楼2201，联系电话：13228806460。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法定代表人：白玛塔青。</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sz w:val="32"/>
          <w:szCs w:val="32"/>
          <w:lang w:val="en-US" w:eastAsia="zh-CN"/>
        </w:rPr>
        <w:t>申请人云旦与被申请人</w:t>
      </w: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西藏雪山顶商贸有限公司确认劳动关系</w:t>
      </w:r>
      <w:r>
        <w:rPr>
          <w:rFonts w:hint="eastAsia" w:ascii="仿宋_GB2312" w:hAnsi="仿宋_GB2312" w:eastAsia="仿宋_GB2312" w:cs="仿宋_GB2312"/>
          <w:sz w:val="32"/>
          <w:szCs w:val="32"/>
          <w:lang w:val="en-US" w:eastAsia="zh-CN"/>
        </w:rPr>
        <w:t>纠纷一案，</w:t>
      </w:r>
      <w:r>
        <w:rPr>
          <w:rFonts w:hint="eastAsia" w:ascii="仿宋_GB2312" w:hAnsi="仿宋_GB2312" w:eastAsia="仿宋_GB2312" w:cs="仿宋_GB2312"/>
          <w:b w:val="0"/>
          <w:bCs w:val="0"/>
          <w:i w:val="0"/>
          <w:iCs w:val="0"/>
          <w:caps w:val="0"/>
          <w:color w:val="333333"/>
          <w:spacing w:val="0"/>
          <w:kern w:val="0"/>
          <w:sz w:val="32"/>
          <w:szCs w:val="32"/>
          <w:u w:val="none"/>
          <w:shd w:val="clear" w:fill="FFFFFF"/>
          <w:lang w:val="en-US" w:eastAsia="zh-CN" w:bidi="ar"/>
        </w:rPr>
        <w:t>本委受理后，由仲裁员旦增朗色独任审理，依法公开开庭审理，申请人云旦代理人仁青郎加到庭参加庭审活动，被申请人</w:t>
      </w: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西藏雪山顶商贸有限公司</w:t>
      </w:r>
      <w:r>
        <w:rPr>
          <w:rFonts w:hint="eastAsia" w:ascii="仿宋_GB2312" w:hAnsi="仿宋_GB2312" w:eastAsia="仿宋_GB2312" w:cs="仿宋_GB2312"/>
          <w:sz w:val="32"/>
          <w:szCs w:val="32"/>
          <w:lang w:val="en-US" w:eastAsia="zh-CN"/>
        </w:rPr>
        <w:t>无正当理由未到庭、亦未向本委提交书面答辩意见及证据材料，本委依据《劳动争议调解仲裁法》第三十六条第二款规定，依法缺席审理。本案现已审理完毕</w:t>
      </w: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w:t>
      </w:r>
      <w:r>
        <w:rPr>
          <w:rFonts w:hint="eastAsia" w:ascii="仿宋_GB2312" w:hAnsi="仿宋_GB2312" w:eastAsia="仿宋_GB2312" w:cs="仿宋_GB2312"/>
          <w:b w:val="0"/>
          <w:bCs w:val="0"/>
          <w:i w:val="0"/>
          <w:iCs w:val="0"/>
          <w:caps w:val="0"/>
          <w:color w:val="333333"/>
          <w:spacing w:val="0"/>
          <w:kern w:val="0"/>
          <w:sz w:val="32"/>
          <w:szCs w:val="32"/>
          <w:u w:val="none"/>
          <w:shd w:val="clear" w:fill="FFFFFF"/>
          <w:lang w:val="en-US" w:eastAsia="zh-CN" w:bidi="ar"/>
        </w:rPr>
        <w:t>本案现已审理终结。</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i w:val="0"/>
          <w:iCs w:val="0"/>
          <w:caps w:val="0"/>
          <w:color w:val="333333"/>
          <w:spacing w:val="0"/>
          <w:kern w:val="0"/>
          <w:sz w:val="32"/>
          <w:szCs w:val="32"/>
          <w:u w:val="none"/>
          <w:shd w:val="clear" w:fill="FFFFFF"/>
          <w:lang w:val="en-US" w:eastAsia="zh-CN" w:bidi="ar"/>
        </w:rPr>
      </w:pPr>
      <w:r>
        <w:rPr>
          <w:rFonts w:hint="eastAsia" w:ascii="仿宋_GB2312" w:hAnsi="仿宋_GB2312" w:eastAsia="仿宋_GB2312" w:cs="仿宋_GB2312"/>
          <w:b w:val="0"/>
          <w:bCs w:val="0"/>
          <w:i w:val="0"/>
          <w:iCs w:val="0"/>
          <w:caps w:val="0"/>
          <w:color w:val="333333"/>
          <w:spacing w:val="0"/>
          <w:kern w:val="0"/>
          <w:sz w:val="32"/>
          <w:szCs w:val="32"/>
          <w:u w:val="none"/>
          <w:shd w:val="clear" w:fill="FFFFFF"/>
          <w:lang w:val="en-US" w:eastAsia="zh-CN" w:bidi="ar"/>
        </w:rPr>
        <w:t>申请人的申请事项及事实理由：</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t>请求确认申请人云旦与被申请人西藏雪山顶商贸有限公司之间存在事实劳动关系。事实与理由：申请人云旦系被申请人西藏雪山顶商贸有限公司的停车收费员，工作地点为拉萨市城关区扎基西路雍珠市场附近路段。申请人在被申请人处工作期间，接受被申请人的管理按照其安排从事停车收费、路段巡查等工作，属于被申请人的业务组成部分。 2025年9月2日14 时许，申请人在上班期间巡查收费路段时，被路人扎洛手持木棒无故打伤，造成头部等部位严重受伤，后被送往西藏自治区武警总医院治疗，经公安机关委托鉴定为重伤二级。事故发生后，被申请人未依法为申请人申请工伤认定，且对双方劳动关系的事实不予明确，导致申请人无法正常进行工伤认定程序。 根据《关于确立劳动关系有关事项的通知》等相关规定申请人接受被申请人的工作安排和管理，从事的工作属于被申请人的业务范围，双方已形成事实劳动关系。为维护申请人的合法权益，保障后续工伤认定及相关待遇主张的顺利进行，特申请依法裁决，确认申请人与被申请人之间存在劳动关系。</w:t>
      </w:r>
    </w:p>
    <w:p>
      <w:pPr>
        <w:keepNext w:val="0"/>
        <w:keepLines w:val="0"/>
        <w:pageBreakBefore w:val="0"/>
        <w:widowControl/>
        <w:suppressLineNumbers w:val="0"/>
        <w:tabs>
          <w:tab w:val="left" w:pos="1964"/>
        </w:tabs>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t>针对以上主张申请人提交的针具如下：</w:t>
      </w:r>
    </w:p>
    <w:p>
      <w:pPr>
        <w:keepNext w:val="0"/>
        <w:keepLines w:val="0"/>
        <w:pageBreakBefore w:val="0"/>
        <w:widowControl/>
        <w:numPr>
          <w:numId w:val="0"/>
        </w:numPr>
        <w:suppressLineNumbers w:val="0"/>
        <w:tabs>
          <w:tab w:val="left" w:pos="1964"/>
        </w:tabs>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t>1.西藏军区总医院病例一套；2.西藏阜康医院法医临床司法鉴定所司法鉴定意见书；3.微信聊天记录。</w:t>
      </w:r>
    </w:p>
    <w:p>
      <w:pPr>
        <w:keepNext w:val="0"/>
        <w:keepLines w:val="0"/>
        <w:pageBreakBefore w:val="0"/>
        <w:widowControl/>
        <w:numPr>
          <w:numId w:val="0"/>
        </w:numPr>
        <w:suppressLineNumbers w:val="0"/>
        <w:tabs>
          <w:tab w:val="left" w:pos="1964"/>
        </w:tabs>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0"/>
          <w:sz w:val="32"/>
          <w:szCs w:val="32"/>
          <w:u w:val="none"/>
          <w:lang w:val="en-US" w:eastAsia="zh-CN" w:bidi="ar"/>
          <w14:textFill>
            <w14:solidFill>
              <w14:schemeClr w14:val="tx1"/>
            </w14:solidFill>
          </w14:textFill>
        </w:rPr>
        <w:t>经本为审理查明：申请人自2024年7月份入职被申请人公司上班，岗位：停车收费员；工作地点：拉萨市城关区扎基西路雍珠市场附近路段；工作时间：9点至19点。工资组成方式为：3500元底薪➕提成➕全勤，由其主管宋世杰通过微信转账的方式进行支付。2025年9月2日14 时许，申请人在上班期间巡查收费路段时，被路人扎洛手持木棒无故打伤，造成头部等部位严重受伤，后送往医院治疗，之后未再去上班。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上述事实有当事人的陈述、庭审笔录以及相关证据证明。</w:t>
      </w:r>
    </w:p>
    <w:p>
      <w:pPr>
        <w:keepNext w:val="0"/>
        <w:keepLines w:val="0"/>
        <w:pageBreakBefore w:val="0"/>
        <w:widowControl/>
        <w:numPr>
          <w:numId w:val="0"/>
        </w:numPr>
        <w:suppressLineNumbers w:val="0"/>
        <w:tabs>
          <w:tab w:val="left" w:pos="1964"/>
        </w:tabs>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综合诉辩双方主张和证据，本为针对申请人各项仲裁请求评析如下：</w:t>
      </w:r>
    </w:p>
    <w:p>
      <w:pPr>
        <w:pStyle w:val="7"/>
        <w:keepNext w:val="0"/>
        <w:keepLines w:val="0"/>
        <w:pageBreakBefore w:val="0"/>
        <w:widowControl/>
        <w:kinsoku/>
        <w:overflowPunct/>
        <w:topLinePunct w:val="0"/>
        <w:autoSpaceDE/>
        <w:autoSpaceDN/>
        <w:bidi w:val="0"/>
        <w:adjustRightInd/>
        <w:snapToGrid/>
        <w:spacing w:line="560" w:lineRule="exact"/>
        <w:ind w:firstLineChars="200"/>
        <w:rPr>
          <w:sz w:val="32"/>
          <w:szCs w:val="32"/>
        </w:rPr>
      </w:pPr>
      <w:r>
        <w:rPr>
          <w:rFonts w:ascii="仿宋_GB2312" w:hAnsi="仿宋_GB2312" w:eastAsia="仿宋_GB2312" w:cs="仿宋_GB2312"/>
          <w:color w:val="000000"/>
          <w:sz w:val="32"/>
          <w:szCs w:val="32"/>
        </w:rPr>
        <w:t>劳动关系，是指用人单位招用劳动者为其成员，劳动者在用人单位的管理下，提供由用人单位支付报酬的劳动而产生的权利义务关系。根据《中华人民共和国劳动合同法》第七条规定，用人单位自用工之日起即与劳动者建立劳动关系。判断双方是否建立劳动关系，应当从双方主体资格、劳动者是否接受用人单位劳动管理、劳动者提供的劳动是否属于用人单位业务组成部分以及用人单位是否向劳动者支付劳动报酬等方面综合认定。</w:t>
      </w:r>
    </w:p>
    <w:p>
      <w:pPr>
        <w:pStyle w:val="7"/>
        <w:keepNext w:val="0"/>
        <w:keepLines w:val="0"/>
        <w:pageBreakBefore w:val="0"/>
        <w:widowControl/>
        <w:kinsoku/>
        <w:overflowPunct/>
        <w:topLinePunct w:val="0"/>
        <w:autoSpaceDE/>
        <w:autoSpaceDN/>
        <w:bidi w:val="0"/>
        <w:adjustRightInd/>
        <w:snapToGrid/>
        <w:spacing w:line="560" w:lineRule="exact"/>
        <w:ind w:firstLineChars="200"/>
        <w:rPr>
          <w:sz w:val="32"/>
          <w:szCs w:val="32"/>
        </w:rPr>
      </w:pPr>
      <w:r>
        <w:rPr>
          <w:rFonts w:ascii="仿宋_GB2312" w:hAnsi="仿宋_GB2312" w:eastAsia="仿宋_GB2312" w:cs="仿宋_GB2312"/>
          <w:color w:val="000000"/>
          <w:sz w:val="32"/>
          <w:szCs w:val="32"/>
        </w:rPr>
        <w:t>本案中，申请人自2024年7月起在被申请人处从事停车收费工作，工作地点及工作时间均由被申请人予以固定安排，申请人须在被申请人规定的工作时间和工作地点内从事被申请人安排的工作，并接受被申请人的日常劳动管理。申请人从事的停车收费及路段巡查工作，属于被申请人业务的组成部分。申请人的工资由被申请人的主管人员宋世杰按月通过微信转账方式支付，工资构成包括底薪、提成及全勤奖，符合用人单位向劳动者支付劳动报酬的特征。上述事实表明，申请人在为被申请人提供劳动的过程中，在人身关系和经济关系上均从属于被申请人，双方之间的关系符合劳动关系的本质特征，应当认定双方自2024年7月起建立事实劳动关系。虽然双方未签订书面劳动合同，但根据《中华人民共和国劳动合同法》第十条之规定，书面劳动合同的订立并非劳动关系成立的必要条件，劳动关系自用工之日起即告建立。</w:t>
      </w:r>
    </w:p>
    <w:p>
      <w:pPr>
        <w:pStyle w:val="7"/>
        <w:keepNext w:val="0"/>
        <w:keepLines w:val="0"/>
        <w:pageBreakBefore w:val="0"/>
        <w:widowControl/>
        <w:kinsoku/>
        <w:overflowPunct/>
        <w:topLinePunct w:val="0"/>
        <w:autoSpaceDE/>
        <w:autoSpaceDN/>
        <w:bidi w:val="0"/>
        <w:adjustRightInd/>
        <w:snapToGrid/>
        <w:spacing w:line="560" w:lineRule="exact"/>
        <w:ind w:firstLineChars="200"/>
        <w:rPr>
          <w:sz w:val="32"/>
          <w:szCs w:val="32"/>
        </w:rPr>
      </w:pPr>
      <w:r>
        <w:rPr>
          <w:rFonts w:ascii="仿宋_GB2312" w:hAnsi="仿宋_GB2312" w:eastAsia="仿宋_GB2312" w:cs="仿宋_GB2312"/>
          <w:color w:val="000000"/>
          <w:sz w:val="32"/>
          <w:szCs w:val="32"/>
        </w:rPr>
        <w:t>关于举证责任问题。根据《中华人民共和国劳动争议调解仲裁法》第六条规定，发生劳动争议，当事人对自己提出的主张，有责任提供证据。与争议事项有关的证据属于用人单位掌握管理的，用人单位应当提供；用人单位不提供的，应当承担不利后果。本案中，申请人已就其主张提交了相应证据，完成了初步举证义务。被申请人经本委依法传唤，无正当理由拒不到庭，亦未提交书面答辩意见及证据材料，应视为其放弃了答辩、质证等仲裁权利。与劳动关系相关的考勤记录、工资支付记录等证据均属于用人单位掌握管理的范围，被申请人未予提供，应对其承担不利后果。结合申请人提交的证据及其陈述，本委对申请人主张的事实予以采信。</w:t>
      </w:r>
    </w:p>
    <w:p>
      <w:pPr>
        <w:pStyle w:val="7"/>
        <w:keepNext w:val="0"/>
        <w:keepLines w:val="0"/>
        <w:pageBreakBefore w:val="0"/>
        <w:widowControl/>
        <w:kinsoku/>
        <w:overflowPunct/>
        <w:topLinePunct w:val="0"/>
        <w:autoSpaceDE/>
        <w:autoSpaceDN/>
        <w:bidi w:val="0"/>
        <w:adjustRightInd/>
        <w:snapToGrid/>
        <w:spacing w:line="560" w:lineRule="exact"/>
        <w:ind w:firstLineChars="200"/>
        <w:rPr>
          <w:sz w:val="32"/>
          <w:szCs w:val="32"/>
        </w:rPr>
      </w:pPr>
      <w:r>
        <w:rPr>
          <w:rFonts w:ascii="仿宋_GB2312" w:hAnsi="仿宋_GB2312" w:eastAsia="仿宋_GB2312" w:cs="仿宋_GB2312"/>
          <w:color w:val="000000"/>
          <w:sz w:val="32"/>
          <w:szCs w:val="32"/>
        </w:rPr>
        <w:t>另需指出，申请人于2025年9月2日在工作期间因工作原因受到暴力伤害，需要进行工伤认定，而工伤认定以劳动关系的存在为前提。根据《工伤保险条例》第十八条规定，提出工伤认定申请应当提交与用人单位存在劳动关系（包括事实劳动关系）的证明材料。本案确认双方存在事实劳动关系，系申请人依法启动工伤认定程序、主张相应工伤保险待遇的必要前置条件。至于申请人所受伤害是否构成工伤，不属于本委职权审查范围，本委对此不予评判。</w:t>
      </w:r>
    </w:p>
    <w:p>
      <w:pPr>
        <w:pStyle w:val="7"/>
        <w:keepNext w:val="0"/>
        <w:keepLines w:val="0"/>
        <w:pageBreakBefore w:val="0"/>
        <w:widowControl/>
        <w:kinsoku/>
        <w:overflowPunct/>
        <w:topLinePunct w:val="0"/>
        <w:autoSpaceDE/>
        <w:autoSpaceDN/>
        <w:bidi w:val="0"/>
        <w:adjustRightInd/>
        <w:snapToGrid/>
        <w:spacing w:line="560" w:lineRule="exact"/>
        <w:ind w:firstLineChars="200"/>
        <w:rPr>
          <w:sz w:val="32"/>
          <w:szCs w:val="32"/>
        </w:rPr>
      </w:pPr>
      <w:r>
        <w:rPr>
          <w:rFonts w:ascii="仿宋_GB2312" w:hAnsi="仿宋_GB2312" w:eastAsia="仿宋_GB2312" w:cs="仿宋_GB2312"/>
          <w:color w:val="000000"/>
          <w:sz w:val="32"/>
          <w:szCs w:val="32"/>
        </w:rPr>
        <w:t>依照《中华人民共和国劳动争议调解仲裁法》第六条、第三十六条第二款，《中华人民共和国劳动合同法》第七条、第十条之规定，裁决如下：</w:t>
      </w:r>
    </w:p>
    <w:p>
      <w:pPr>
        <w:pStyle w:val="7"/>
        <w:keepNext w:val="0"/>
        <w:keepLines w:val="0"/>
        <w:pageBreakBefore w:val="0"/>
        <w:widowControl/>
        <w:kinsoku/>
        <w:overflowPunct/>
        <w:topLinePunct w:val="0"/>
        <w:autoSpaceDE/>
        <w:autoSpaceDN/>
        <w:bidi w:val="0"/>
        <w:adjustRightInd/>
        <w:snapToGrid/>
        <w:spacing w:line="560" w:lineRule="exact"/>
        <w:ind w:firstLineChars="200"/>
        <w:rPr>
          <w:sz w:val="32"/>
          <w:szCs w:val="32"/>
        </w:rPr>
      </w:pPr>
      <w:r>
        <w:rPr>
          <w:rFonts w:ascii="仿宋_GB2312" w:hAnsi="仿宋_GB2312" w:eastAsia="仿宋_GB2312" w:cs="仿宋_GB2312"/>
          <w:color w:val="000000"/>
          <w:sz w:val="32"/>
          <w:szCs w:val="32"/>
        </w:rPr>
        <w:t>确认申请人</w:t>
      </w:r>
      <w:r>
        <w:rPr>
          <w:rFonts w:hint="eastAsia" w:cs="仿宋_GB2312"/>
          <w:color w:val="000000"/>
          <w:sz w:val="32"/>
          <w:szCs w:val="32"/>
          <w:lang w:val="en-US" w:eastAsia="zh-CN"/>
        </w:rPr>
        <w:t>云旦</w:t>
      </w:r>
      <w:r>
        <w:rPr>
          <w:rFonts w:ascii="仿宋_GB2312" w:hAnsi="仿宋_GB2312" w:eastAsia="仿宋_GB2312" w:cs="仿宋_GB2312"/>
          <w:color w:val="000000"/>
          <w:sz w:val="32"/>
          <w:szCs w:val="32"/>
        </w:rPr>
        <w:t>与被申请人</w:t>
      </w:r>
      <w:r>
        <w:rPr>
          <w:rFonts w:hint="eastAsia" w:ascii="仿宋_GB2312" w:hAnsi="仿宋_GB2312" w:eastAsia="仿宋_GB2312" w:cs="仿宋_GB2312"/>
          <w:i w:val="0"/>
          <w:iCs w:val="0"/>
          <w:caps w:val="0"/>
          <w:color w:val="333333"/>
          <w:spacing w:val="0"/>
          <w:kern w:val="0"/>
          <w:sz w:val="32"/>
          <w:szCs w:val="32"/>
          <w:u w:val="none"/>
          <w:shd w:val="clear" w:fill="FFFFFF"/>
          <w:lang w:val="en-US" w:eastAsia="zh-CN" w:bidi="ar"/>
        </w:rPr>
        <w:t>西藏雪山顶商贸有限公司</w:t>
      </w:r>
      <w:r>
        <w:rPr>
          <w:rFonts w:ascii="仿宋_GB2312" w:hAnsi="仿宋_GB2312" w:eastAsia="仿宋_GB2312" w:cs="仿宋_GB2312"/>
          <w:color w:val="000000"/>
          <w:sz w:val="32"/>
          <w:szCs w:val="32"/>
        </w:rPr>
        <w:t>自2024年7月起存在事实劳动关系。</w:t>
      </w:r>
    </w:p>
    <w:p>
      <w:pPr>
        <w:pStyle w:val="7"/>
        <w:keepNext w:val="0"/>
        <w:keepLines w:val="0"/>
        <w:pageBreakBefore w:val="0"/>
        <w:widowControl/>
        <w:kinsoku/>
        <w:overflowPunct/>
        <w:topLinePunct w:val="0"/>
        <w:autoSpaceDE/>
        <w:autoSpaceDN/>
        <w:bidi w:val="0"/>
        <w:adjustRightInd/>
        <w:snapToGrid/>
        <w:spacing w:line="560" w:lineRule="exact"/>
        <w:ind w:firstLineChars="200"/>
        <w:rPr>
          <w:rFonts w:hint="eastAsia" w:eastAsia="仿宋_GB2312"/>
          <w:sz w:val="32"/>
          <w:szCs w:val="32"/>
          <w:lang w:eastAsia="zh-CN"/>
        </w:rPr>
      </w:pPr>
      <w:r>
        <w:rPr>
          <w:rFonts w:ascii="仿宋_GB2312" w:hAnsi="仿宋_GB2312" w:eastAsia="仿宋_GB2312" w:cs="仿宋_GB2312"/>
          <w:color w:val="000000"/>
          <w:sz w:val="32"/>
          <w:szCs w:val="32"/>
        </w:rPr>
        <w:t>本裁决为</w:t>
      </w:r>
      <w:r>
        <w:rPr>
          <w:rFonts w:hint="eastAsia" w:cs="仿宋_GB2312"/>
          <w:color w:val="000000"/>
          <w:sz w:val="32"/>
          <w:szCs w:val="32"/>
          <w:lang w:val="en-US" w:eastAsia="zh-CN"/>
        </w:rPr>
        <w:t>非</w:t>
      </w:r>
      <w:r>
        <w:rPr>
          <w:rFonts w:ascii="仿宋_GB2312" w:hAnsi="仿宋_GB2312" w:eastAsia="仿宋_GB2312" w:cs="仿宋_GB2312"/>
          <w:color w:val="000000"/>
          <w:sz w:val="32"/>
          <w:szCs w:val="32"/>
        </w:rPr>
        <w:t>终局裁决。</w:t>
      </w:r>
      <w:r>
        <w:rPr>
          <w:rFonts w:hint="eastAsia" w:cs="仿宋_GB2312"/>
          <w:color w:val="000000"/>
          <w:sz w:val="32"/>
          <w:szCs w:val="32"/>
          <w:lang w:val="en-US" w:eastAsia="zh-CN"/>
        </w:rPr>
        <w:t>当事人对本裁决不服的，</w:t>
      </w:r>
      <w:r>
        <w:rPr>
          <w:rFonts w:ascii="仿宋_GB2312" w:hAnsi="仿宋_GB2312" w:eastAsia="仿宋_GB2312" w:cs="仿宋_GB2312"/>
          <w:color w:val="000000"/>
          <w:sz w:val="32"/>
          <w:szCs w:val="32"/>
        </w:rPr>
        <w:t>可以自收到仲裁裁决书之日起十五日内向人民法院提起诉讼。</w:t>
      </w:r>
    </w:p>
    <w:p>
      <w:pPr>
        <w:pStyle w:val="7"/>
        <w:keepNext w:val="0"/>
        <w:keepLines w:val="0"/>
        <w:pageBreakBefore w:val="0"/>
        <w:widowControl/>
        <w:kinsoku/>
        <w:overflowPunct/>
        <w:topLinePunct w:val="0"/>
        <w:autoSpaceDE/>
        <w:autoSpaceDN/>
        <w:bidi w:val="0"/>
        <w:adjustRightInd/>
        <w:snapToGrid/>
        <w:spacing w:line="560" w:lineRule="exact"/>
        <w:ind w:firstLineChars="200"/>
        <w:jc w:val="right"/>
        <w:rPr>
          <w:rFonts w:hint="eastAsia" w:eastAsia="仿宋_GB2312"/>
          <w:sz w:val="32"/>
          <w:szCs w:val="32"/>
          <w:lang w:val="en-US" w:eastAsia="zh-CN"/>
        </w:rPr>
      </w:pPr>
      <w:r>
        <w:rPr>
          <w:rFonts w:ascii="仿宋_GB2312" w:hAnsi="仿宋_GB2312" w:eastAsia="仿宋_GB2312" w:cs="仿宋_GB2312"/>
          <w:color w:val="000000"/>
          <w:sz w:val="32"/>
          <w:szCs w:val="32"/>
        </w:rPr>
        <w:t>仲裁员：</w:t>
      </w:r>
      <w:r>
        <w:rPr>
          <w:rFonts w:hint="eastAsia" w:cs="仿宋_GB2312"/>
          <w:color w:val="000000"/>
          <w:sz w:val="32"/>
          <w:szCs w:val="32"/>
          <w:lang w:val="en-US" w:eastAsia="zh-CN"/>
        </w:rPr>
        <w:t>旦增朗色</w:t>
      </w:r>
    </w:p>
    <w:p>
      <w:pPr>
        <w:pStyle w:val="7"/>
        <w:keepNext w:val="0"/>
        <w:keepLines w:val="0"/>
        <w:pageBreakBefore w:val="0"/>
        <w:widowControl/>
        <w:kinsoku/>
        <w:overflowPunct/>
        <w:topLinePunct w:val="0"/>
        <w:autoSpaceDE/>
        <w:autoSpaceDN/>
        <w:bidi w:val="0"/>
        <w:adjustRightInd/>
        <w:snapToGrid/>
        <w:spacing w:line="560" w:lineRule="exact"/>
        <w:ind w:firstLineChars="200"/>
        <w:jc w:val="right"/>
        <w:rPr>
          <w:sz w:val="32"/>
          <w:szCs w:val="32"/>
        </w:rPr>
      </w:pPr>
      <w:r>
        <w:rPr>
          <w:rFonts w:ascii="仿宋_GB2312" w:hAnsi="仿宋_GB2312" w:eastAsia="仿宋_GB2312" w:cs="仿宋_GB2312"/>
          <w:color w:val="000000"/>
          <w:sz w:val="32"/>
          <w:szCs w:val="32"/>
        </w:rPr>
        <w:t>二〇二</w:t>
      </w:r>
      <w:r>
        <w:rPr>
          <w:rFonts w:hint="eastAsia" w:cs="仿宋_GB2312"/>
          <w:color w:val="000000"/>
          <w:sz w:val="32"/>
          <w:szCs w:val="32"/>
          <w:lang w:val="en-US" w:eastAsia="zh-CN"/>
        </w:rPr>
        <w:t>六</w:t>
      </w:r>
      <w:r>
        <w:rPr>
          <w:rFonts w:ascii="仿宋_GB2312" w:hAnsi="仿宋_GB2312" w:eastAsia="仿宋_GB2312" w:cs="仿宋_GB2312"/>
          <w:color w:val="000000"/>
          <w:sz w:val="32"/>
          <w:szCs w:val="32"/>
        </w:rPr>
        <w:t>年</w:t>
      </w:r>
      <w:r>
        <w:rPr>
          <w:rFonts w:hint="eastAsia" w:cs="仿宋_GB2312"/>
          <w:color w:val="000000"/>
          <w:sz w:val="32"/>
          <w:szCs w:val="32"/>
          <w:lang w:val="en-US" w:eastAsia="zh-CN"/>
        </w:rPr>
        <w:t>八</w:t>
      </w:r>
      <w:r>
        <w:rPr>
          <w:rFonts w:ascii="仿宋_GB2312" w:hAnsi="仿宋_GB2312" w:eastAsia="仿宋_GB2312" w:cs="仿宋_GB2312"/>
          <w:color w:val="000000"/>
          <w:sz w:val="32"/>
          <w:szCs w:val="32"/>
        </w:rPr>
        <w:t>月</w:t>
      </w:r>
      <w:r>
        <w:rPr>
          <w:rFonts w:hint="eastAsia" w:cs="仿宋_GB2312"/>
          <w:color w:val="000000"/>
          <w:sz w:val="32"/>
          <w:szCs w:val="32"/>
          <w:lang w:val="en-US" w:eastAsia="zh-CN"/>
        </w:rPr>
        <w:t>十九</w:t>
      </w:r>
      <w:r>
        <w:rPr>
          <w:rFonts w:ascii="仿宋_GB2312" w:hAnsi="仿宋_GB2312" w:eastAsia="仿宋_GB2312" w:cs="仿宋_GB2312"/>
          <w:color w:val="000000"/>
          <w:sz w:val="32"/>
          <w:szCs w:val="32"/>
        </w:rPr>
        <w:t>日</w:t>
      </w:r>
    </w:p>
    <w:p>
      <w:pPr>
        <w:pStyle w:val="7"/>
        <w:keepNext w:val="0"/>
        <w:keepLines w:val="0"/>
        <w:pageBreakBefore w:val="0"/>
        <w:widowControl/>
        <w:kinsoku/>
        <w:overflowPunct/>
        <w:topLinePunct w:val="0"/>
        <w:autoSpaceDE/>
        <w:autoSpaceDN/>
        <w:bidi w:val="0"/>
        <w:adjustRightInd/>
        <w:snapToGrid/>
        <w:spacing w:line="560" w:lineRule="exact"/>
        <w:ind w:firstLineChars="200"/>
        <w:jc w:val="right"/>
        <w:rPr>
          <w:rFonts w:hint="eastAsia" w:eastAsia="仿宋_GB2312"/>
          <w:sz w:val="32"/>
          <w:szCs w:val="32"/>
          <w:lang w:val="en-US" w:eastAsia="zh-CN"/>
        </w:rPr>
      </w:pPr>
      <w:r>
        <w:rPr>
          <w:rFonts w:ascii="仿宋_GB2312" w:hAnsi="仿宋_GB2312" w:eastAsia="仿宋_GB2312" w:cs="仿宋_GB2312"/>
          <w:color w:val="000000"/>
          <w:sz w:val="32"/>
          <w:szCs w:val="32"/>
        </w:rPr>
        <w:t>书记员：</w:t>
      </w:r>
      <w:r>
        <w:rPr>
          <w:rFonts w:hint="eastAsia" w:cs="仿宋_GB2312"/>
          <w:color w:val="000000"/>
          <w:sz w:val="32"/>
          <w:szCs w:val="32"/>
          <w:lang w:val="en-US" w:eastAsia="zh-CN"/>
        </w:rPr>
        <w:t>单增顿旦</w:t>
      </w:r>
    </w:p>
    <w:p>
      <w:pPr>
        <w:keepNext w:val="0"/>
        <w:keepLines w:val="0"/>
        <w:pageBreakBefore w:val="0"/>
        <w:widowControl/>
        <w:numPr>
          <w:numId w:val="0"/>
        </w:numPr>
        <w:suppressLineNumbers w:val="0"/>
        <w:tabs>
          <w:tab w:val="left" w:pos="1964"/>
        </w:tabs>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仿宋_GB2312" w:eastAsia="仿宋_GB2312" w:cs="仿宋_GB2312"/>
          <w:b w:val="0"/>
          <w:bCs w:val="0"/>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MicrosoftYaHei">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PingFang SC">
    <w:panose1 w:val="020B0400000000000000"/>
    <w:charset w:val="86"/>
    <w:family w:val="auto"/>
    <w:pitch w:val="default"/>
    <w:sig w:usb0="A00002FF" w:usb1="7ACFFDFB" w:usb2="00000017" w:usb3="00000000" w:csb0="00040001" w:csb1="00000000"/>
  </w:font>
  <w:font w:name="凌慧体-简">
    <w:panose1 w:val="03050602040302020204"/>
    <w:charset w:val="86"/>
    <w:family w:val="auto"/>
    <w:pitch w:val="default"/>
    <w:sig w:usb0="A00002FF" w:usb1="7ACF7CFB" w:usb2="0000001E" w:usb3="00000000" w:csb0="00040001" w:csb1="00000000"/>
  </w:font>
  <w:font w:name="Apple Color Emoji">
    <w:panose1 w:val="00000000000000000000"/>
    <w:charset w:val="00"/>
    <w:family w:val="auto"/>
    <w:pitch w:val="default"/>
    <w:sig w:usb0="00000003" w:usb1="18000000" w:usb2="14000000" w:usb3="00000000" w:csb0="00000001" w:csb1="00000000"/>
  </w:font>
  <w:font w:name="Times">
    <w:altName w:val="Times New Roman"/>
    <w:panose1 w:val="02020603050405020304"/>
    <w:charset w:val="00"/>
    <w:family w:val="auto"/>
    <w:pitch w:val="default"/>
    <w:sig w:usb0="00000000" w:usb1="00000000" w:usb2="00000000" w:usb3="00000000" w:csb0="00040001" w:csb1="00000000"/>
  </w:font>
  <w:font w:name="CESI仿宋-GB2312">
    <w:altName w:val="方正仿宋_GBK"/>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yKa93AIAACQGAAAOAAAAZHJz&#10;L2Uyb0RvYy54bWytVM1u1DAQviPxDpbvaX6abrOrZqvtpkFIFa1UEGev42wsHNuyvT8FcYU34MSF&#10;O8/V52CcbHbbglAl2EN27Bl/nu+b8Zydb1uB1sxYrmSO46MIIyapqrhc5vjd2zLIMLKOyIoIJVmO&#10;75jF59OXL842esIS1ShRMYMARNrJRue4cU5PwtDShrXEHinNJDhrZVriYGmWYWXIBtBbESZRNAo3&#10;ylTaKMqshd2id+IdonkOoKprTlmh6Kpl0vWohgnigJJtuLZ42mVb14y667q2zCGRY2Dqui9cAvbC&#10;f8PpGZksDdENp7sUyHNSeMKpJVzCpXuogjiCVob/BtVyapRVtTuiqg17Ip0iwCKOnmhz2xDNOi4g&#10;tdV70e3/g6Vv1jcG8SrHCUaStFDw+29f77//vP/xBSVeno22E4i61RDnthdqC00z7FvY9Ky3tWn9&#10;P/BB4Adx7/bisq1D1B/KkiyLwEXBNywAPzwc18a6V0y1yBs5NlC9TlSyvrKuDx1C/G1SlVyIroJC&#10;ok2OR8cnUXdg7wFwIX0sZAEYO6uvzKdxNL7MLrM0SJPRZZBGRRHMynkajMr49KQ4LubzIv7s8eJ0&#10;0vCqYtLfN3RJnD6vCrtO6eu77xOrBK88nE/JmuViLgxaE+jSsvt5hSH5B2Hh4zQ6N7B6QilO0ugi&#10;GQflKDsN0jI9CcanURZE8fhiPIrScVqUjyldccn+ndIj9R8kTSa+YHtuC0Hoh79S8+kcqIECQ+FC&#10;34d9v3nLbRdbkMibC1XdQW8a1T9uq2nJ4dIrYt0NMfCaoedg3rlr+NRCQZ+onYVRo8zHP+37eCgv&#10;eDHawHTIsYRhiJF4LeHxAaAbDDMYi8GQq3auoJAxzFFNOxMOGCcGszaqfQ9DcObvABeRFG7KsRvM&#10;uesnFAxRymazLmilDV82/QEYHZq4K3mrqb+mayE9Wzl4D90zOagCUvoFDI9O1N2g89Pp4bqLOgz3&#10;6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X8imvdwCAAAkBgAADgAAAAAAAAABACAAAAA1&#10;AQAAZHJzL2Uyb0RvYy54bWxQSwUGAAAAAAYABgBZAQAAgwY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DF8963"/>
    <w:rsid w:val="7F7FCAC8"/>
    <w:rsid w:val="F7DF8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null5"/>
    <w:hidden/>
    <w:uiPriority w:val="0"/>
    <w:rPr>
      <w:rFonts w:hint="eastAsia" w:ascii="仿宋_GB2312" w:hAnsi="仿宋_GB2312" w:eastAsia="仿宋_GB2312" w:cs="仿宋_GB2312"/>
      <w:sz w:val="24"/>
      <w:szCs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2026-08-19T14:35:00Z</dcterms:created>
  <dc:creator>朗色</dc:creator>
  <cp:lastModifiedBy>朗色</cp:lastModifiedBy>
  <dcterms:modified xsi:type="dcterms:W3CDTF">2026-08-19T16:18:58Z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53666F5F96DD0665984E856A1E3D58E0_41</vt:lpwstr>
  </property>
</Properties>
</file>